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F71C" w14:textId="4EFE2FA2" w:rsidR="003B2BB0" w:rsidRPr="007E76AE" w:rsidRDefault="00087836" w:rsidP="007E76AE">
      <w:pPr>
        <w:spacing w:line="259" w:lineRule="auto"/>
        <w:jc w:val="center"/>
        <w:rPr>
          <w:rFonts w:eastAsiaTheme="minorHAnsi"/>
          <w:b/>
          <w:bCs/>
          <w:sz w:val="24"/>
          <w:szCs w:val="24"/>
        </w:rPr>
      </w:pPr>
      <w:r>
        <w:rPr>
          <w:rFonts w:eastAsiaTheme="minorHAnsi"/>
          <w:b/>
          <w:bCs/>
          <w:sz w:val="24"/>
          <w:szCs w:val="24"/>
        </w:rPr>
        <w:t>Environmental</w:t>
      </w:r>
      <w:r w:rsidR="009C470F" w:rsidRPr="007E76AE">
        <w:rPr>
          <w:rFonts w:eastAsiaTheme="minorHAnsi"/>
          <w:b/>
          <w:bCs/>
          <w:sz w:val="24"/>
          <w:szCs w:val="24"/>
        </w:rPr>
        <w:t xml:space="preserve"> Policy</w:t>
      </w:r>
    </w:p>
    <w:p w14:paraId="59E4BC72" w14:textId="77777777" w:rsidR="003B2BB0" w:rsidRDefault="009C470F" w:rsidP="007E76AE">
      <w:pPr>
        <w:spacing w:line="259" w:lineRule="auto"/>
        <w:jc w:val="center"/>
        <w:rPr>
          <w:rFonts w:eastAsiaTheme="minorHAnsi"/>
          <w:sz w:val="24"/>
          <w:szCs w:val="24"/>
        </w:rPr>
      </w:pPr>
      <w:r w:rsidRPr="007E76AE">
        <w:rPr>
          <w:rFonts w:eastAsiaTheme="minorHAnsi"/>
          <w:sz w:val="24"/>
          <w:szCs w:val="24"/>
        </w:rPr>
        <w:t>Version 1.0</w:t>
      </w:r>
    </w:p>
    <w:p w14:paraId="78CFE9F6" w14:textId="77777777" w:rsidR="007E76AE" w:rsidRDefault="007E76AE" w:rsidP="007E76AE">
      <w:pPr>
        <w:spacing w:line="259" w:lineRule="auto"/>
        <w:jc w:val="center"/>
        <w:rPr>
          <w:rFonts w:eastAsiaTheme="minorHAnsi"/>
          <w:sz w:val="24"/>
          <w:szCs w:val="24"/>
        </w:rPr>
      </w:pPr>
    </w:p>
    <w:p w14:paraId="13EC513E" w14:textId="77777777" w:rsidR="007E76AE" w:rsidRDefault="007E76AE" w:rsidP="007E76AE">
      <w:pPr>
        <w:spacing w:line="259" w:lineRule="auto"/>
        <w:jc w:val="center"/>
        <w:rPr>
          <w:rFonts w:eastAsiaTheme="minorHAnsi"/>
          <w:sz w:val="24"/>
          <w:szCs w:val="24"/>
        </w:rPr>
      </w:pPr>
    </w:p>
    <w:p w14:paraId="49B2C9A1" w14:textId="77777777" w:rsidR="003B2BB0" w:rsidRPr="00CE29ED" w:rsidRDefault="009C470F" w:rsidP="00CE29ED">
      <w:pPr>
        <w:spacing w:after="160" w:line="259" w:lineRule="auto"/>
        <w:rPr>
          <w:rFonts w:eastAsiaTheme="minorHAnsi"/>
          <w:b/>
          <w:bCs/>
          <w:sz w:val="24"/>
          <w:szCs w:val="24"/>
        </w:rPr>
      </w:pPr>
      <w:r w:rsidRPr="00CE29ED">
        <w:rPr>
          <w:rFonts w:eastAsiaTheme="minorHAnsi"/>
          <w:b/>
          <w:bCs/>
          <w:sz w:val="24"/>
          <w:szCs w:val="24"/>
        </w:rPr>
        <w:t>PURPOSE</w:t>
      </w:r>
    </w:p>
    <w:p w14:paraId="15F5E6B6" w14:textId="77777777" w:rsidR="00087836" w:rsidRPr="00087836" w:rsidRDefault="00087836" w:rsidP="00087836">
      <w:pPr>
        <w:spacing w:after="160" w:line="259" w:lineRule="auto"/>
        <w:rPr>
          <w:rFonts w:eastAsiaTheme="minorHAnsi"/>
          <w:sz w:val="24"/>
          <w:szCs w:val="24"/>
        </w:rPr>
      </w:pPr>
      <w:r w:rsidRPr="00087836">
        <w:rPr>
          <w:rFonts w:eastAsiaTheme="minorHAnsi"/>
          <w:sz w:val="24"/>
          <w:szCs w:val="24"/>
        </w:rPr>
        <w:t>M10TEK, LLC and M10 Technology Canada, Inc. (collectively 'M10TEK') are committed to operating in an environmentally responsible manner. As a fully remote SAP consulting and IT staffing firm, M10TEK acknowledges that while its environmental footprint is limited compared to companies with physical facilities or manufacturing operations, it has a responsibility to minimize its impact on the environment and to promote sustainable practices among its Associates.</w:t>
      </w:r>
    </w:p>
    <w:p w14:paraId="0F0EB7BC" w14:textId="77777777" w:rsidR="00087836" w:rsidRDefault="00087836" w:rsidP="00087836">
      <w:pPr>
        <w:spacing w:after="160" w:line="259" w:lineRule="auto"/>
        <w:rPr>
          <w:rFonts w:eastAsiaTheme="minorHAnsi"/>
          <w:sz w:val="24"/>
          <w:szCs w:val="24"/>
        </w:rPr>
      </w:pPr>
      <w:r w:rsidRPr="00087836">
        <w:rPr>
          <w:rFonts w:eastAsiaTheme="minorHAnsi"/>
          <w:sz w:val="24"/>
          <w:szCs w:val="24"/>
        </w:rPr>
        <w:t>This policy establishes M10TEK's commitments and objectives with respect to energy consumption, greenhouse gas (GHG) emissions, and waste management. It reflects the reality of M10TEK's operations honestly and sets practical, achievable objectives grounded in the company's actual activities.</w:t>
      </w:r>
    </w:p>
    <w:p w14:paraId="5C65C299" w14:textId="4A3C86DD" w:rsidR="003B2BB0" w:rsidRPr="00CE29ED" w:rsidRDefault="009C470F" w:rsidP="00087836">
      <w:pPr>
        <w:spacing w:after="160" w:line="259" w:lineRule="auto"/>
        <w:rPr>
          <w:rFonts w:eastAsiaTheme="minorHAnsi"/>
          <w:b/>
          <w:bCs/>
          <w:sz w:val="24"/>
          <w:szCs w:val="24"/>
        </w:rPr>
      </w:pPr>
      <w:r w:rsidRPr="00CE29ED">
        <w:rPr>
          <w:rFonts w:eastAsiaTheme="minorHAnsi"/>
          <w:b/>
          <w:bCs/>
          <w:sz w:val="24"/>
          <w:szCs w:val="24"/>
        </w:rPr>
        <w:t>SCOPE</w:t>
      </w:r>
    </w:p>
    <w:p w14:paraId="33B0FC48" w14:textId="64C2E621" w:rsidR="003B2BB0" w:rsidRDefault="00087836">
      <w:pPr>
        <w:spacing w:before="160"/>
        <w:rPr>
          <w:rFonts w:eastAsiaTheme="minorHAnsi"/>
          <w:sz w:val="24"/>
          <w:szCs w:val="24"/>
        </w:rPr>
      </w:pPr>
      <w:r w:rsidRPr="00087836">
        <w:rPr>
          <w:rFonts w:eastAsiaTheme="minorHAnsi"/>
          <w:sz w:val="24"/>
          <w:szCs w:val="24"/>
        </w:rPr>
        <w:t>This policy applies to all M10TEK and M10 Technology Canada, Inc. Associates, including full-time, part-time, temporary, and contract workers who perform work on M10TEK's behalf. Because M10TEK operates as a 100% remote organization with no shared physical office premises, the primary sources of environmental impact are Associates' home office energy use, business travel, and electronic equipment lifecycle.</w:t>
      </w:r>
    </w:p>
    <w:p w14:paraId="308880F4" w14:textId="77777777" w:rsidR="00087836" w:rsidRDefault="00087836">
      <w:pPr>
        <w:spacing w:before="160"/>
      </w:pPr>
    </w:p>
    <w:p w14:paraId="27CB323F" w14:textId="14842708" w:rsidR="003B2BB0" w:rsidRPr="00CE29ED" w:rsidRDefault="009C470F" w:rsidP="00CE29ED">
      <w:pPr>
        <w:spacing w:after="160" w:line="259" w:lineRule="auto"/>
        <w:rPr>
          <w:rFonts w:eastAsiaTheme="minorHAnsi"/>
          <w:b/>
          <w:bCs/>
          <w:sz w:val="24"/>
          <w:szCs w:val="24"/>
        </w:rPr>
      </w:pPr>
      <w:r w:rsidRPr="00CE29ED">
        <w:rPr>
          <w:rFonts w:eastAsiaTheme="minorHAnsi"/>
          <w:b/>
          <w:bCs/>
          <w:sz w:val="24"/>
          <w:szCs w:val="24"/>
        </w:rPr>
        <w:t>1</w:t>
      </w:r>
      <w:proofErr w:type="gramStart"/>
      <w:r w:rsidRPr="00CE29ED">
        <w:rPr>
          <w:rFonts w:eastAsiaTheme="minorHAnsi"/>
          <w:b/>
          <w:bCs/>
          <w:sz w:val="24"/>
          <w:szCs w:val="24"/>
        </w:rPr>
        <w:t xml:space="preserve">.  </w:t>
      </w:r>
      <w:r w:rsidR="00087836" w:rsidRPr="00087836">
        <w:rPr>
          <w:rFonts w:eastAsiaTheme="minorHAnsi"/>
          <w:b/>
          <w:bCs/>
          <w:sz w:val="24"/>
          <w:szCs w:val="24"/>
        </w:rPr>
        <w:t>ENERGY</w:t>
      </w:r>
      <w:proofErr w:type="gramEnd"/>
      <w:r w:rsidR="00087836" w:rsidRPr="00087836">
        <w:rPr>
          <w:rFonts w:eastAsiaTheme="minorHAnsi"/>
          <w:b/>
          <w:bCs/>
          <w:sz w:val="24"/>
          <w:szCs w:val="24"/>
        </w:rPr>
        <w:t xml:space="preserve"> CONSUMPTION AND GREENHOUSE GAS EMISSIONS</w:t>
      </w:r>
    </w:p>
    <w:p w14:paraId="40C2C9AA" w14:textId="6E26F424" w:rsidR="003B2BB0" w:rsidRPr="00CE29ED" w:rsidRDefault="009C470F" w:rsidP="00CE29ED">
      <w:pPr>
        <w:spacing w:after="160" w:line="259" w:lineRule="auto"/>
        <w:rPr>
          <w:rFonts w:eastAsiaTheme="minorHAnsi"/>
          <w:b/>
          <w:bCs/>
          <w:sz w:val="24"/>
          <w:szCs w:val="24"/>
        </w:rPr>
      </w:pPr>
      <w:proofErr w:type="gramStart"/>
      <w:r w:rsidRPr="00CE29ED">
        <w:rPr>
          <w:rFonts w:eastAsiaTheme="minorHAnsi"/>
          <w:b/>
          <w:bCs/>
          <w:sz w:val="24"/>
          <w:szCs w:val="24"/>
        </w:rPr>
        <w:t xml:space="preserve">1.1  </w:t>
      </w:r>
      <w:r w:rsidR="00087836">
        <w:rPr>
          <w:rFonts w:eastAsiaTheme="minorHAnsi"/>
          <w:b/>
          <w:bCs/>
          <w:sz w:val="24"/>
          <w:szCs w:val="24"/>
        </w:rPr>
        <w:t>Context</w:t>
      </w:r>
      <w:proofErr w:type="gramEnd"/>
    </w:p>
    <w:p w14:paraId="1535EDBC" w14:textId="77777777" w:rsidR="00087836" w:rsidRPr="00087836" w:rsidRDefault="00087836" w:rsidP="00087836">
      <w:pPr>
        <w:spacing w:before="80"/>
        <w:rPr>
          <w:rFonts w:eastAsiaTheme="minorHAnsi"/>
          <w:sz w:val="24"/>
          <w:szCs w:val="24"/>
        </w:rPr>
      </w:pPr>
      <w:r w:rsidRPr="00087836">
        <w:rPr>
          <w:rFonts w:eastAsiaTheme="minorHAnsi"/>
          <w:sz w:val="24"/>
          <w:szCs w:val="24"/>
        </w:rPr>
        <w:t>M10TEK's energy consumption arises primarily from Associates' home office electricity use, including computers, monitors, networking equipment, and lighting. M10TEK does not operate shared office buildings, data centers, or a vehicle fleet. Business travel, when it occurs, represents a secondary source of GHG emissions.</w:t>
      </w:r>
    </w:p>
    <w:p w14:paraId="6DF8557B" w14:textId="50EDFA1F" w:rsidR="003B2BB0" w:rsidRDefault="00087836" w:rsidP="00087836">
      <w:pPr>
        <w:spacing w:before="80"/>
        <w:rPr>
          <w:rFonts w:eastAsiaTheme="minorHAnsi"/>
          <w:sz w:val="24"/>
          <w:szCs w:val="24"/>
        </w:rPr>
      </w:pPr>
      <w:r w:rsidRPr="00087836">
        <w:rPr>
          <w:rFonts w:eastAsiaTheme="minorHAnsi"/>
          <w:sz w:val="24"/>
          <w:szCs w:val="24"/>
        </w:rPr>
        <w:t>M10TEK's remote-first operating model is itself a meaningful emissions reduction strategy. By eliminating daily commuting for all Associates and operating without a shared physical office, M10TEK avoids significant energy consumption and associated GHG emissions compared to a traditionally office-based company of equivalent size.</w:t>
      </w:r>
    </w:p>
    <w:p w14:paraId="4C04805E" w14:textId="77777777" w:rsidR="00087836" w:rsidRDefault="00087836" w:rsidP="00087836">
      <w:pPr>
        <w:spacing w:before="80"/>
      </w:pPr>
    </w:p>
    <w:p w14:paraId="6AF4319D" w14:textId="3C19C5A3" w:rsidR="003B2BB0" w:rsidRPr="00CE29ED" w:rsidRDefault="009C470F" w:rsidP="00CE29ED">
      <w:pPr>
        <w:spacing w:after="160" w:line="259" w:lineRule="auto"/>
        <w:rPr>
          <w:rFonts w:eastAsiaTheme="minorHAnsi"/>
          <w:b/>
          <w:bCs/>
          <w:sz w:val="24"/>
          <w:szCs w:val="24"/>
        </w:rPr>
      </w:pPr>
      <w:proofErr w:type="gramStart"/>
      <w:r w:rsidRPr="00CE29ED">
        <w:rPr>
          <w:rFonts w:eastAsiaTheme="minorHAnsi"/>
          <w:b/>
          <w:bCs/>
          <w:sz w:val="24"/>
          <w:szCs w:val="24"/>
        </w:rPr>
        <w:t xml:space="preserve">1.2  </w:t>
      </w:r>
      <w:r w:rsidR="00087836" w:rsidRPr="00087836">
        <w:rPr>
          <w:rFonts w:eastAsiaTheme="minorHAnsi"/>
          <w:b/>
          <w:bCs/>
          <w:sz w:val="24"/>
          <w:szCs w:val="24"/>
        </w:rPr>
        <w:t>Qualitative</w:t>
      </w:r>
      <w:proofErr w:type="gramEnd"/>
      <w:r w:rsidR="00087836" w:rsidRPr="00087836">
        <w:rPr>
          <w:rFonts w:eastAsiaTheme="minorHAnsi"/>
          <w:b/>
          <w:bCs/>
          <w:sz w:val="24"/>
          <w:szCs w:val="24"/>
        </w:rPr>
        <w:t xml:space="preserve"> Objectives</w:t>
      </w:r>
    </w:p>
    <w:p w14:paraId="6C5D31F3" w14:textId="77777777" w:rsidR="00087836" w:rsidRPr="00087836" w:rsidRDefault="00087836" w:rsidP="00087836">
      <w:pPr>
        <w:spacing w:before="80"/>
        <w:rPr>
          <w:rFonts w:eastAsiaTheme="minorHAnsi"/>
          <w:sz w:val="24"/>
          <w:szCs w:val="24"/>
        </w:rPr>
      </w:pPr>
      <w:r w:rsidRPr="00087836">
        <w:rPr>
          <w:rFonts w:eastAsiaTheme="minorHAnsi"/>
          <w:sz w:val="24"/>
          <w:szCs w:val="24"/>
        </w:rPr>
        <w:t>M10TEK commits to the following qualitative objectives with respect to energy consumption and GHG emissions:</w:t>
      </w:r>
    </w:p>
    <w:p w14:paraId="4E5225F2" w14:textId="77777777" w:rsidR="00087836" w:rsidRPr="00087836" w:rsidRDefault="00087836" w:rsidP="00087836">
      <w:pPr>
        <w:pStyle w:val="ListParagraph"/>
        <w:numPr>
          <w:ilvl w:val="0"/>
          <w:numId w:val="8"/>
        </w:numPr>
        <w:spacing w:before="80"/>
        <w:rPr>
          <w:rFonts w:eastAsiaTheme="minorHAnsi"/>
          <w:sz w:val="24"/>
          <w:szCs w:val="24"/>
        </w:rPr>
      </w:pPr>
      <w:r w:rsidRPr="00087836">
        <w:rPr>
          <w:rFonts w:eastAsiaTheme="minorHAnsi"/>
          <w:sz w:val="24"/>
          <w:szCs w:val="24"/>
        </w:rPr>
        <w:t>Promote energy-efficient practices among all Associates working from home offices, including use of energy-saving settings on computers and monitors, powering down equipment when not in use, and using energy-efficient lighting where possible.</w:t>
      </w:r>
    </w:p>
    <w:p w14:paraId="408699B1" w14:textId="77777777" w:rsidR="00087836" w:rsidRPr="00087836" w:rsidRDefault="00087836" w:rsidP="00087836">
      <w:pPr>
        <w:pStyle w:val="ListParagraph"/>
        <w:numPr>
          <w:ilvl w:val="0"/>
          <w:numId w:val="8"/>
        </w:numPr>
        <w:spacing w:before="80"/>
        <w:rPr>
          <w:rFonts w:eastAsiaTheme="minorHAnsi"/>
          <w:sz w:val="24"/>
          <w:szCs w:val="24"/>
        </w:rPr>
      </w:pPr>
      <w:r w:rsidRPr="00087836">
        <w:rPr>
          <w:rFonts w:eastAsiaTheme="minorHAnsi"/>
          <w:sz w:val="24"/>
          <w:szCs w:val="24"/>
        </w:rPr>
        <w:lastRenderedPageBreak/>
        <w:t xml:space="preserve">Prefer electronic communication, video conferencing, and digital collaboration tools over in-person business travel wherever operationally feasible, </w:t>
      </w:r>
      <w:proofErr w:type="gramStart"/>
      <w:r w:rsidRPr="00087836">
        <w:rPr>
          <w:rFonts w:eastAsiaTheme="minorHAnsi"/>
          <w:sz w:val="24"/>
          <w:szCs w:val="24"/>
        </w:rPr>
        <w:t>in order to</w:t>
      </w:r>
      <w:proofErr w:type="gramEnd"/>
      <w:r w:rsidRPr="00087836">
        <w:rPr>
          <w:rFonts w:eastAsiaTheme="minorHAnsi"/>
          <w:sz w:val="24"/>
          <w:szCs w:val="24"/>
        </w:rPr>
        <w:t xml:space="preserve"> minimize travel-related GHG emissions.</w:t>
      </w:r>
    </w:p>
    <w:p w14:paraId="06C300E8" w14:textId="77777777" w:rsidR="00087836" w:rsidRPr="00087836" w:rsidRDefault="00087836" w:rsidP="00087836">
      <w:pPr>
        <w:pStyle w:val="ListParagraph"/>
        <w:numPr>
          <w:ilvl w:val="0"/>
          <w:numId w:val="8"/>
        </w:numPr>
        <w:spacing w:before="80"/>
        <w:rPr>
          <w:rFonts w:eastAsiaTheme="minorHAnsi"/>
          <w:sz w:val="24"/>
          <w:szCs w:val="24"/>
        </w:rPr>
      </w:pPr>
      <w:r w:rsidRPr="00087836">
        <w:rPr>
          <w:rFonts w:eastAsiaTheme="minorHAnsi"/>
          <w:sz w:val="24"/>
          <w:szCs w:val="24"/>
        </w:rPr>
        <w:t>Prioritize the purchase of energy-efficient computing equipment when procuring or replacing company-issued hardware.</w:t>
      </w:r>
    </w:p>
    <w:p w14:paraId="02068373" w14:textId="77777777" w:rsidR="00087836" w:rsidRPr="00087836" w:rsidRDefault="00087836" w:rsidP="00087836">
      <w:pPr>
        <w:pStyle w:val="ListParagraph"/>
        <w:numPr>
          <w:ilvl w:val="0"/>
          <w:numId w:val="8"/>
        </w:numPr>
        <w:spacing w:before="80"/>
        <w:rPr>
          <w:rFonts w:eastAsiaTheme="minorHAnsi"/>
          <w:sz w:val="24"/>
          <w:szCs w:val="24"/>
        </w:rPr>
      </w:pPr>
      <w:r w:rsidRPr="00087836">
        <w:rPr>
          <w:rFonts w:eastAsiaTheme="minorHAnsi"/>
          <w:sz w:val="24"/>
          <w:szCs w:val="24"/>
        </w:rPr>
        <w:t xml:space="preserve">Maintain M10TEK's </w:t>
      </w:r>
      <w:proofErr w:type="gramStart"/>
      <w:r w:rsidRPr="00087836">
        <w:rPr>
          <w:rFonts w:eastAsiaTheme="minorHAnsi"/>
          <w:sz w:val="24"/>
          <w:szCs w:val="24"/>
        </w:rPr>
        <w:t>remote-first</w:t>
      </w:r>
      <w:proofErr w:type="gramEnd"/>
      <w:r w:rsidRPr="00087836">
        <w:rPr>
          <w:rFonts w:eastAsiaTheme="minorHAnsi"/>
          <w:sz w:val="24"/>
          <w:szCs w:val="24"/>
        </w:rPr>
        <w:t xml:space="preserve"> operating model as an ongoing structural commitment to reducing the company's overall energy footprint.</w:t>
      </w:r>
    </w:p>
    <w:p w14:paraId="4EED8AF9" w14:textId="77777777" w:rsidR="00087836" w:rsidRPr="00087836" w:rsidRDefault="00087836" w:rsidP="00087836">
      <w:pPr>
        <w:pStyle w:val="ListParagraph"/>
        <w:numPr>
          <w:ilvl w:val="0"/>
          <w:numId w:val="8"/>
        </w:numPr>
        <w:spacing w:before="80"/>
        <w:rPr>
          <w:rFonts w:eastAsiaTheme="minorHAnsi"/>
          <w:sz w:val="24"/>
          <w:szCs w:val="24"/>
        </w:rPr>
      </w:pPr>
      <w:r w:rsidRPr="00087836">
        <w:rPr>
          <w:rFonts w:eastAsiaTheme="minorHAnsi"/>
          <w:sz w:val="24"/>
          <w:szCs w:val="24"/>
        </w:rPr>
        <w:t>Evaluate the feasibility of measuring and reporting on M10TEK's energy consumption and GHG emissions as the company grows, with the goal of establishing quantitative baselines in a future reporting cycle.</w:t>
      </w:r>
    </w:p>
    <w:p w14:paraId="1A7A190F" w14:textId="77777777" w:rsidR="003B2BB0" w:rsidRDefault="003B2BB0">
      <w:pPr>
        <w:spacing w:before="160"/>
      </w:pPr>
    </w:p>
    <w:p w14:paraId="59201782" w14:textId="5E91FB4D" w:rsidR="003B2BB0" w:rsidRPr="00CE29ED" w:rsidRDefault="009C470F" w:rsidP="00CE29ED">
      <w:pPr>
        <w:spacing w:after="160" w:line="259" w:lineRule="auto"/>
        <w:rPr>
          <w:rFonts w:eastAsiaTheme="minorHAnsi"/>
          <w:b/>
          <w:bCs/>
          <w:sz w:val="24"/>
          <w:szCs w:val="24"/>
        </w:rPr>
      </w:pPr>
      <w:r w:rsidRPr="00CE29ED">
        <w:rPr>
          <w:rFonts w:eastAsiaTheme="minorHAnsi"/>
          <w:b/>
          <w:bCs/>
          <w:sz w:val="24"/>
          <w:szCs w:val="24"/>
        </w:rPr>
        <w:t>2</w:t>
      </w:r>
      <w:proofErr w:type="gramStart"/>
      <w:r w:rsidRPr="00CE29ED">
        <w:rPr>
          <w:rFonts w:eastAsiaTheme="minorHAnsi"/>
          <w:b/>
          <w:bCs/>
          <w:sz w:val="24"/>
          <w:szCs w:val="24"/>
        </w:rPr>
        <w:t xml:space="preserve">.  </w:t>
      </w:r>
      <w:r w:rsidR="00087836">
        <w:rPr>
          <w:rFonts w:eastAsiaTheme="minorHAnsi"/>
          <w:b/>
          <w:bCs/>
          <w:sz w:val="24"/>
          <w:szCs w:val="24"/>
        </w:rPr>
        <w:t>WASTE</w:t>
      </w:r>
      <w:proofErr w:type="gramEnd"/>
      <w:r w:rsidR="00087836">
        <w:rPr>
          <w:rFonts w:eastAsiaTheme="minorHAnsi"/>
          <w:b/>
          <w:bCs/>
          <w:sz w:val="24"/>
          <w:szCs w:val="24"/>
        </w:rPr>
        <w:t xml:space="preserve"> MANAGEMENT</w:t>
      </w:r>
    </w:p>
    <w:p w14:paraId="6C56B567" w14:textId="0C4ACFDE" w:rsidR="003B2BB0" w:rsidRPr="00CE29ED" w:rsidRDefault="009C470F" w:rsidP="00CE29ED">
      <w:pPr>
        <w:spacing w:after="160" w:line="259" w:lineRule="auto"/>
        <w:rPr>
          <w:rFonts w:eastAsiaTheme="minorHAnsi"/>
          <w:b/>
          <w:bCs/>
          <w:sz w:val="24"/>
          <w:szCs w:val="24"/>
        </w:rPr>
      </w:pPr>
      <w:proofErr w:type="gramStart"/>
      <w:r w:rsidRPr="00CE29ED">
        <w:rPr>
          <w:rFonts w:eastAsiaTheme="minorHAnsi"/>
          <w:b/>
          <w:bCs/>
          <w:sz w:val="24"/>
          <w:szCs w:val="24"/>
        </w:rPr>
        <w:t xml:space="preserve">2.1  </w:t>
      </w:r>
      <w:r w:rsidR="00087836">
        <w:rPr>
          <w:rFonts w:eastAsiaTheme="minorHAnsi"/>
          <w:b/>
          <w:bCs/>
          <w:sz w:val="24"/>
          <w:szCs w:val="24"/>
        </w:rPr>
        <w:t>Context</w:t>
      </w:r>
      <w:proofErr w:type="gramEnd"/>
    </w:p>
    <w:p w14:paraId="6285E0BE" w14:textId="2280DE13" w:rsidR="003B2BB0" w:rsidRDefault="00087836">
      <w:pPr>
        <w:spacing w:before="80"/>
        <w:rPr>
          <w:rFonts w:eastAsiaTheme="minorHAnsi"/>
          <w:sz w:val="24"/>
          <w:szCs w:val="24"/>
        </w:rPr>
      </w:pPr>
      <w:r w:rsidRPr="00087836">
        <w:rPr>
          <w:rFonts w:eastAsiaTheme="minorHAnsi"/>
          <w:sz w:val="24"/>
          <w:szCs w:val="24"/>
        </w:rPr>
        <w:t>M10TEK's waste footprint is limited. As a remote, digital-first organization, M10TEK does not generate industrial, chemical, or significant physical waste from its operations. The primary waste streams relevant to M10TEK are electronic waste (e-waste) from end-of-life computing equipment and incidental paper and packaging waste associated with equipment procurement.</w:t>
      </w:r>
    </w:p>
    <w:p w14:paraId="1D2D12F0" w14:textId="77777777" w:rsidR="00087836" w:rsidRDefault="00087836">
      <w:pPr>
        <w:spacing w:before="80"/>
      </w:pPr>
    </w:p>
    <w:p w14:paraId="450BBEA0" w14:textId="7C8B6ADE" w:rsidR="003B2BB0" w:rsidRPr="00CE29ED" w:rsidRDefault="009C470F" w:rsidP="00CE29ED">
      <w:pPr>
        <w:spacing w:after="160" w:line="259" w:lineRule="auto"/>
        <w:rPr>
          <w:rFonts w:eastAsiaTheme="minorHAnsi"/>
          <w:b/>
          <w:bCs/>
          <w:sz w:val="24"/>
          <w:szCs w:val="24"/>
        </w:rPr>
      </w:pPr>
      <w:proofErr w:type="gramStart"/>
      <w:r w:rsidRPr="00CE29ED">
        <w:rPr>
          <w:rFonts w:eastAsiaTheme="minorHAnsi"/>
          <w:b/>
          <w:bCs/>
          <w:sz w:val="24"/>
          <w:szCs w:val="24"/>
        </w:rPr>
        <w:t xml:space="preserve">2.2  </w:t>
      </w:r>
      <w:r w:rsidR="00087836" w:rsidRPr="00087836">
        <w:rPr>
          <w:rFonts w:eastAsiaTheme="minorHAnsi"/>
          <w:b/>
          <w:bCs/>
          <w:sz w:val="24"/>
          <w:szCs w:val="24"/>
        </w:rPr>
        <w:t>Qualitative</w:t>
      </w:r>
      <w:proofErr w:type="gramEnd"/>
      <w:r w:rsidR="00087836" w:rsidRPr="00087836">
        <w:rPr>
          <w:rFonts w:eastAsiaTheme="minorHAnsi"/>
          <w:b/>
          <w:bCs/>
          <w:sz w:val="24"/>
          <w:szCs w:val="24"/>
        </w:rPr>
        <w:t xml:space="preserve"> Objectives</w:t>
      </w:r>
    </w:p>
    <w:p w14:paraId="3E955081" w14:textId="77777777" w:rsidR="00087836" w:rsidRPr="00087836" w:rsidRDefault="00087836" w:rsidP="00087836">
      <w:pPr>
        <w:spacing w:before="80"/>
        <w:rPr>
          <w:rFonts w:eastAsiaTheme="minorHAnsi"/>
          <w:sz w:val="24"/>
          <w:szCs w:val="24"/>
        </w:rPr>
      </w:pPr>
      <w:r w:rsidRPr="00087836">
        <w:rPr>
          <w:rFonts w:eastAsiaTheme="minorHAnsi"/>
          <w:sz w:val="24"/>
          <w:szCs w:val="24"/>
        </w:rPr>
        <w:t>M10TEK commits to the following qualitative objectives with respect to waste:</w:t>
      </w:r>
    </w:p>
    <w:p w14:paraId="013E2C46" w14:textId="77777777" w:rsidR="00087836" w:rsidRPr="00087836" w:rsidRDefault="00087836" w:rsidP="00087836">
      <w:pPr>
        <w:pStyle w:val="ListParagraph"/>
        <w:numPr>
          <w:ilvl w:val="0"/>
          <w:numId w:val="9"/>
        </w:numPr>
        <w:spacing w:before="80"/>
        <w:rPr>
          <w:rFonts w:eastAsiaTheme="minorHAnsi"/>
          <w:sz w:val="24"/>
          <w:szCs w:val="24"/>
        </w:rPr>
      </w:pPr>
      <w:r w:rsidRPr="00087836">
        <w:rPr>
          <w:rFonts w:eastAsiaTheme="minorHAnsi"/>
          <w:sz w:val="24"/>
          <w:szCs w:val="24"/>
        </w:rPr>
        <w:t>Operate as a paperless-first organization. All standard business operations -- contracts, invoices, HR documentation, communications, and reporting -- are conducted electronically. Associates are encouraged to avoid printing wherever possible.</w:t>
      </w:r>
    </w:p>
    <w:p w14:paraId="493530E0" w14:textId="77777777" w:rsidR="00087836" w:rsidRPr="00087836" w:rsidRDefault="00087836" w:rsidP="00087836">
      <w:pPr>
        <w:pStyle w:val="ListParagraph"/>
        <w:numPr>
          <w:ilvl w:val="0"/>
          <w:numId w:val="9"/>
        </w:numPr>
        <w:spacing w:before="80"/>
        <w:rPr>
          <w:rFonts w:eastAsiaTheme="minorHAnsi"/>
          <w:sz w:val="24"/>
          <w:szCs w:val="24"/>
        </w:rPr>
      </w:pPr>
      <w:r w:rsidRPr="00087836">
        <w:rPr>
          <w:rFonts w:eastAsiaTheme="minorHAnsi"/>
          <w:sz w:val="24"/>
          <w:szCs w:val="24"/>
        </w:rPr>
        <w:t>Ensure responsible disposal of electronic equipment at end of life. Associates and the company are encouraged to use certified e-waste recycling programs or manufacturer take-back programs when retiring laptops, monitors, and other computing equipment rather than disposing of them in general waste.</w:t>
      </w:r>
    </w:p>
    <w:p w14:paraId="18A0EB1A" w14:textId="77777777" w:rsidR="00087836" w:rsidRPr="00087836" w:rsidRDefault="00087836" w:rsidP="00087836">
      <w:pPr>
        <w:pStyle w:val="ListParagraph"/>
        <w:numPr>
          <w:ilvl w:val="0"/>
          <w:numId w:val="9"/>
        </w:numPr>
        <w:spacing w:before="80"/>
        <w:rPr>
          <w:rFonts w:eastAsiaTheme="minorHAnsi"/>
          <w:sz w:val="24"/>
          <w:szCs w:val="24"/>
        </w:rPr>
      </w:pPr>
      <w:r w:rsidRPr="00087836">
        <w:rPr>
          <w:rFonts w:eastAsiaTheme="minorHAnsi"/>
          <w:sz w:val="24"/>
          <w:szCs w:val="24"/>
        </w:rPr>
        <w:t>Extend the useful life of computing equipment by maintaining and repairing devices before replacing them, reducing the volume of e-waste generated.</w:t>
      </w:r>
    </w:p>
    <w:p w14:paraId="70680EB2" w14:textId="77777777" w:rsidR="00087836" w:rsidRPr="00087836" w:rsidRDefault="00087836" w:rsidP="00087836">
      <w:pPr>
        <w:pStyle w:val="ListParagraph"/>
        <w:numPr>
          <w:ilvl w:val="0"/>
          <w:numId w:val="9"/>
        </w:numPr>
        <w:spacing w:before="80"/>
        <w:rPr>
          <w:rFonts w:eastAsiaTheme="minorHAnsi"/>
          <w:sz w:val="24"/>
          <w:szCs w:val="24"/>
        </w:rPr>
      </w:pPr>
      <w:r w:rsidRPr="00087836">
        <w:rPr>
          <w:rFonts w:eastAsiaTheme="minorHAnsi"/>
          <w:sz w:val="24"/>
          <w:szCs w:val="24"/>
        </w:rPr>
        <w:t>Minimize waste associated with equipment procurement by avoiding unnecessary purchases and selecting vendors with responsible packaging practices where possible.</w:t>
      </w:r>
    </w:p>
    <w:p w14:paraId="6308C317" w14:textId="77777777" w:rsidR="00087836" w:rsidRPr="00087836" w:rsidRDefault="00087836" w:rsidP="00087836">
      <w:pPr>
        <w:pStyle w:val="ListParagraph"/>
        <w:numPr>
          <w:ilvl w:val="0"/>
          <w:numId w:val="9"/>
        </w:numPr>
        <w:spacing w:before="80"/>
        <w:rPr>
          <w:rFonts w:eastAsiaTheme="minorHAnsi"/>
          <w:sz w:val="24"/>
          <w:szCs w:val="24"/>
        </w:rPr>
      </w:pPr>
      <w:r w:rsidRPr="00087836">
        <w:rPr>
          <w:rFonts w:eastAsiaTheme="minorHAnsi"/>
          <w:sz w:val="24"/>
          <w:szCs w:val="24"/>
        </w:rPr>
        <w:t>Evaluate the feasibility of tracking and reporting on e-waste volumes as the company grows.</w:t>
      </w:r>
    </w:p>
    <w:p w14:paraId="1C943641" w14:textId="77777777" w:rsidR="003B2BB0" w:rsidRDefault="003B2BB0">
      <w:pPr>
        <w:spacing w:before="160"/>
      </w:pPr>
    </w:p>
    <w:p w14:paraId="7CF22DBB" w14:textId="7F099F76" w:rsidR="003B2BB0" w:rsidRPr="00CE29ED" w:rsidRDefault="009C470F" w:rsidP="00CE29ED">
      <w:pPr>
        <w:spacing w:after="160" w:line="259" w:lineRule="auto"/>
        <w:rPr>
          <w:rFonts w:eastAsiaTheme="minorHAnsi"/>
          <w:b/>
          <w:bCs/>
          <w:sz w:val="24"/>
          <w:szCs w:val="24"/>
        </w:rPr>
      </w:pPr>
      <w:r w:rsidRPr="00CE29ED">
        <w:rPr>
          <w:rFonts w:eastAsiaTheme="minorHAnsi"/>
          <w:b/>
          <w:bCs/>
          <w:sz w:val="24"/>
          <w:szCs w:val="24"/>
        </w:rPr>
        <w:t>3</w:t>
      </w:r>
      <w:proofErr w:type="gramStart"/>
      <w:r w:rsidRPr="00CE29ED">
        <w:rPr>
          <w:rFonts w:eastAsiaTheme="minorHAnsi"/>
          <w:b/>
          <w:bCs/>
          <w:sz w:val="24"/>
          <w:szCs w:val="24"/>
        </w:rPr>
        <w:t xml:space="preserve">.  </w:t>
      </w:r>
      <w:r w:rsidR="00087836" w:rsidRPr="00087836">
        <w:rPr>
          <w:rFonts w:eastAsiaTheme="minorHAnsi"/>
          <w:b/>
          <w:bCs/>
          <w:sz w:val="24"/>
          <w:szCs w:val="24"/>
        </w:rPr>
        <w:t>ROLES</w:t>
      </w:r>
      <w:proofErr w:type="gramEnd"/>
      <w:r w:rsidR="00087836" w:rsidRPr="00087836">
        <w:rPr>
          <w:rFonts w:eastAsiaTheme="minorHAnsi"/>
          <w:b/>
          <w:bCs/>
          <w:sz w:val="24"/>
          <w:szCs w:val="24"/>
        </w:rPr>
        <w:t xml:space="preserve"> AND RESPONSIBILITIES</w:t>
      </w:r>
    </w:p>
    <w:p w14:paraId="735D58B4" w14:textId="77777777" w:rsidR="00087836" w:rsidRPr="00087836" w:rsidRDefault="00087836" w:rsidP="00087836">
      <w:pPr>
        <w:spacing w:before="80"/>
        <w:rPr>
          <w:rFonts w:eastAsiaTheme="minorHAnsi"/>
          <w:sz w:val="24"/>
          <w:szCs w:val="24"/>
        </w:rPr>
      </w:pPr>
      <w:r w:rsidRPr="00087836">
        <w:rPr>
          <w:rFonts w:eastAsiaTheme="minorHAnsi"/>
          <w:sz w:val="24"/>
          <w:szCs w:val="24"/>
        </w:rPr>
        <w:lastRenderedPageBreak/>
        <w:t>M10TEK leadership is responsible for communicating this policy to all Associates, modeling environmentally responsible behavior, and reviewing and updating this policy annually.</w:t>
      </w:r>
    </w:p>
    <w:p w14:paraId="08AE8E4B" w14:textId="5F20E754" w:rsidR="003B2BB0" w:rsidRDefault="00087836" w:rsidP="00087836">
      <w:pPr>
        <w:spacing w:before="80"/>
        <w:rPr>
          <w:rFonts w:eastAsiaTheme="minorHAnsi"/>
          <w:sz w:val="24"/>
          <w:szCs w:val="24"/>
        </w:rPr>
      </w:pPr>
      <w:r w:rsidRPr="00087836">
        <w:rPr>
          <w:rFonts w:eastAsiaTheme="minorHAnsi"/>
          <w:sz w:val="24"/>
          <w:szCs w:val="24"/>
        </w:rPr>
        <w:t>All Associates are expected to be aware of this policy and to apply its principles in their day-to-day work activities to the extent practicable within their home office environments.</w:t>
      </w:r>
    </w:p>
    <w:p w14:paraId="0DCE89F1" w14:textId="77777777" w:rsidR="00087836" w:rsidRDefault="00087836" w:rsidP="00087836">
      <w:pPr>
        <w:spacing w:before="80"/>
      </w:pPr>
    </w:p>
    <w:p w14:paraId="7C2A2932" w14:textId="77777777" w:rsidR="00087836" w:rsidRDefault="009C470F" w:rsidP="00087836">
      <w:pPr>
        <w:spacing w:after="160" w:line="259" w:lineRule="auto"/>
        <w:rPr>
          <w:rFonts w:eastAsiaTheme="minorHAnsi"/>
          <w:b/>
          <w:bCs/>
          <w:sz w:val="24"/>
          <w:szCs w:val="24"/>
        </w:rPr>
      </w:pPr>
      <w:r w:rsidRPr="00CE29ED">
        <w:rPr>
          <w:rFonts w:eastAsiaTheme="minorHAnsi"/>
          <w:b/>
          <w:bCs/>
          <w:sz w:val="24"/>
          <w:szCs w:val="24"/>
        </w:rPr>
        <w:t>4</w:t>
      </w:r>
      <w:proofErr w:type="gramStart"/>
      <w:r w:rsidRPr="00CE29ED">
        <w:rPr>
          <w:rFonts w:eastAsiaTheme="minorHAnsi"/>
          <w:b/>
          <w:bCs/>
          <w:sz w:val="24"/>
          <w:szCs w:val="24"/>
        </w:rPr>
        <w:t xml:space="preserve">.  </w:t>
      </w:r>
      <w:r w:rsidR="00087836" w:rsidRPr="00087836">
        <w:rPr>
          <w:rFonts w:eastAsiaTheme="minorHAnsi"/>
          <w:b/>
          <w:bCs/>
          <w:sz w:val="24"/>
          <w:szCs w:val="24"/>
        </w:rPr>
        <w:t>POLICY</w:t>
      </w:r>
      <w:proofErr w:type="gramEnd"/>
      <w:r w:rsidR="00087836" w:rsidRPr="00087836">
        <w:rPr>
          <w:rFonts w:eastAsiaTheme="minorHAnsi"/>
          <w:b/>
          <w:bCs/>
          <w:sz w:val="24"/>
          <w:szCs w:val="24"/>
        </w:rPr>
        <w:t xml:space="preserve"> REVIEW</w:t>
      </w:r>
      <w:r w:rsidR="00087836" w:rsidRPr="00087836">
        <w:rPr>
          <w:rFonts w:eastAsiaTheme="minorHAnsi"/>
          <w:b/>
          <w:bCs/>
          <w:sz w:val="24"/>
          <w:szCs w:val="24"/>
        </w:rPr>
        <w:t xml:space="preserve"> </w:t>
      </w:r>
    </w:p>
    <w:p w14:paraId="457354C5" w14:textId="61486623" w:rsidR="003B2BB0" w:rsidRDefault="00087836">
      <w:pPr>
        <w:spacing w:before="80"/>
      </w:pPr>
      <w:r w:rsidRPr="00087836">
        <w:rPr>
          <w:rFonts w:eastAsiaTheme="minorHAnsi"/>
          <w:sz w:val="24"/>
          <w:szCs w:val="24"/>
        </w:rPr>
        <w:t>This policy will be reviewed at least annually by M10TEK leadership. Updates will be made to reflect changes in M10TEK's operations, growth, applicable regulations, or evolving best practices in environmental management. Associates will be notified of any material changes.</w:t>
      </w:r>
    </w:p>
    <w:p w14:paraId="4EB00C88" w14:textId="77777777" w:rsidR="00CE29ED" w:rsidRDefault="00CE29ED" w:rsidP="00CE29ED">
      <w:pPr>
        <w:pStyle w:val="ListParagraph"/>
        <w:ind w:left="720"/>
        <w:rPr>
          <w:sz w:val="24"/>
          <w:szCs w:val="24"/>
        </w:rPr>
      </w:pPr>
    </w:p>
    <w:p w14:paraId="2DCF9068" w14:textId="77777777" w:rsidR="00CE29ED" w:rsidRPr="00CE29ED" w:rsidRDefault="00CE29ED" w:rsidP="00CE29ED">
      <w:pPr>
        <w:pStyle w:val="ListParagraph"/>
        <w:ind w:left="720"/>
        <w:rPr>
          <w:sz w:val="24"/>
          <w:szCs w:val="24"/>
        </w:rPr>
      </w:pPr>
    </w:p>
    <w:p w14:paraId="52DD8AA8" w14:textId="646785A4" w:rsidR="00CE29ED" w:rsidRPr="00087836" w:rsidRDefault="00087836" w:rsidP="00087836">
      <w:pPr>
        <w:ind w:left="360"/>
        <w:jc w:val="center"/>
        <w:rPr>
          <w:b/>
          <w:bCs/>
          <w:sz w:val="24"/>
          <w:szCs w:val="24"/>
        </w:rPr>
      </w:pPr>
      <w:r>
        <w:rPr>
          <w:b/>
          <w:bCs/>
          <w:sz w:val="24"/>
          <w:szCs w:val="24"/>
        </w:rPr>
        <w:t>ENVIRONMENTAL POLICY</w:t>
      </w:r>
      <w:r w:rsidR="00CE29ED" w:rsidRPr="00087836">
        <w:rPr>
          <w:b/>
          <w:bCs/>
          <w:sz w:val="24"/>
          <w:szCs w:val="24"/>
        </w:rPr>
        <w:t xml:space="preserve"> LOG</w:t>
      </w:r>
    </w:p>
    <w:tbl>
      <w:tblPr>
        <w:tblStyle w:val="GridTable6Colorful"/>
        <w:tblW w:w="0" w:type="auto"/>
        <w:tblLook w:val="04A0" w:firstRow="1" w:lastRow="0" w:firstColumn="1" w:lastColumn="0" w:noHBand="0" w:noVBand="1"/>
      </w:tblPr>
      <w:tblGrid>
        <w:gridCol w:w="1318"/>
        <w:gridCol w:w="1031"/>
        <w:gridCol w:w="5273"/>
        <w:gridCol w:w="1728"/>
      </w:tblGrid>
      <w:tr w:rsidR="00CE29ED" w:rsidRPr="00CA17D8" w14:paraId="1849560D" w14:textId="77777777" w:rsidTr="00CE29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181D334A" w14:textId="77777777" w:rsidR="00CE29ED" w:rsidRPr="00CA17D8" w:rsidRDefault="00CE29ED" w:rsidP="002564EF">
            <w:pPr>
              <w:rPr>
                <w:rFonts w:ascii="Arial" w:hAnsi="Arial" w:cs="Arial"/>
                <w:sz w:val="20"/>
                <w:szCs w:val="20"/>
              </w:rPr>
            </w:pPr>
            <w:r w:rsidRPr="00CA17D8">
              <w:rPr>
                <w:rFonts w:ascii="Arial" w:hAnsi="Arial" w:cs="Arial"/>
                <w:sz w:val="20"/>
                <w:szCs w:val="20"/>
              </w:rPr>
              <w:t>Date</w:t>
            </w:r>
          </w:p>
        </w:tc>
        <w:tc>
          <w:tcPr>
            <w:tcW w:w="1031" w:type="dxa"/>
          </w:tcPr>
          <w:p w14:paraId="334552B5" w14:textId="77777777" w:rsidR="00CE29ED" w:rsidRPr="00CA17D8" w:rsidRDefault="00CE29ED" w:rsidP="002564E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17D8">
              <w:rPr>
                <w:rFonts w:ascii="Arial" w:hAnsi="Arial" w:cs="Arial"/>
                <w:sz w:val="20"/>
                <w:szCs w:val="20"/>
              </w:rPr>
              <w:t>Version</w:t>
            </w:r>
          </w:p>
        </w:tc>
        <w:tc>
          <w:tcPr>
            <w:tcW w:w="5273" w:type="dxa"/>
          </w:tcPr>
          <w:p w14:paraId="0582C5C5" w14:textId="77777777" w:rsidR="00CE29ED" w:rsidRPr="00CA17D8" w:rsidRDefault="00CE29ED" w:rsidP="002564E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17D8">
              <w:rPr>
                <w:rFonts w:ascii="Arial" w:hAnsi="Arial" w:cs="Arial"/>
                <w:sz w:val="20"/>
                <w:szCs w:val="20"/>
              </w:rPr>
              <w:t>Changes</w:t>
            </w:r>
          </w:p>
        </w:tc>
        <w:tc>
          <w:tcPr>
            <w:tcW w:w="1728" w:type="dxa"/>
          </w:tcPr>
          <w:p w14:paraId="04E9CC25" w14:textId="77777777" w:rsidR="00CE29ED" w:rsidRPr="00CA17D8" w:rsidRDefault="00CE29ED" w:rsidP="002564E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17D8">
              <w:rPr>
                <w:rFonts w:ascii="Arial" w:hAnsi="Arial" w:cs="Arial"/>
                <w:sz w:val="20"/>
                <w:szCs w:val="20"/>
              </w:rPr>
              <w:t>Approver</w:t>
            </w:r>
          </w:p>
        </w:tc>
      </w:tr>
      <w:tr w:rsidR="00CE29ED" w:rsidRPr="00CA17D8" w14:paraId="7399CCFA" w14:textId="77777777" w:rsidTr="00CE2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52F4790B" w14:textId="3FE35A89" w:rsidR="00CE29ED" w:rsidRPr="00987473" w:rsidRDefault="00493B1B" w:rsidP="002564EF">
            <w:pPr>
              <w:rPr>
                <w:rFonts w:ascii="Arial" w:hAnsi="Arial" w:cs="Arial"/>
                <w:b w:val="0"/>
                <w:bCs w:val="0"/>
              </w:rPr>
            </w:pPr>
            <w:r>
              <w:rPr>
                <w:rFonts w:ascii="Arial" w:hAnsi="Arial" w:cs="Arial"/>
                <w:b w:val="0"/>
                <w:bCs w:val="0"/>
              </w:rPr>
              <w:t>6/</w:t>
            </w:r>
            <w:r w:rsidR="00087836">
              <w:rPr>
                <w:rFonts w:ascii="Arial" w:hAnsi="Arial" w:cs="Arial"/>
                <w:b w:val="0"/>
                <w:bCs w:val="0"/>
              </w:rPr>
              <w:t>8</w:t>
            </w:r>
            <w:r>
              <w:rPr>
                <w:rFonts w:ascii="Arial" w:hAnsi="Arial" w:cs="Arial"/>
                <w:b w:val="0"/>
                <w:bCs w:val="0"/>
              </w:rPr>
              <w:t>/2026</w:t>
            </w:r>
          </w:p>
        </w:tc>
        <w:tc>
          <w:tcPr>
            <w:tcW w:w="1031" w:type="dxa"/>
          </w:tcPr>
          <w:p w14:paraId="07D48FE3" w14:textId="77777777" w:rsidR="00CE29ED" w:rsidRPr="00987473" w:rsidRDefault="00CE29ED" w:rsidP="002564E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87473">
              <w:rPr>
                <w:rFonts w:ascii="Arial" w:hAnsi="Arial" w:cs="Arial"/>
              </w:rPr>
              <w:t>1.0</w:t>
            </w:r>
          </w:p>
        </w:tc>
        <w:tc>
          <w:tcPr>
            <w:tcW w:w="5273" w:type="dxa"/>
          </w:tcPr>
          <w:p w14:paraId="00A0B8BB" w14:textId="77777777" w:rsidR="00CE29ED" w:rsidRPr="00987473" w:rsidRDefault="00CE29ED" w:rsidP="002564E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87473">
              <w:rPr>
                <w:rFonts w:ascii="Arial" w:hAnsi="Arial" w:cs="Arial"/>
              </w:rPr>
              <w:t xml:space="preserve">Initial Release </w:t>
            </w:r>
          </w:p>
        </w:tc>
        <w:tc>
          <w:tcPr>
            <w:tcW w:w="1728" w:type="dxa"/>
          </w:tcPr>
          <w:p w14:paraId="30DB996E" w14:textId="77777777" w:rsidR="00CE29ED" w:rsidRPr="00987473" w:rsidRDefault="00CE29ED" w:rsidP="002564E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87473">
              <w:rPr>
                <w:rFonts w:ascii="Arial" w:hAnsi="Arial" w:cs="Arial"/>
              </w:rPr>
              <w:t>Jim Rosenberg</w:t>
            </w:r>
            <w:r>
              <w:rPr>
                <w:rFonts w:ascii="Arial" w:hAnsi="Arial" w:cs="Arial"/>
              </w:rPr>
              <w:t>er</w:t>
            </w:r>
          </w:p>
        </w:tc>
      </w:tr>
      <w:tr w:rsidR="00CE29ED" w:rsidRPr="00CA17D8" w14:paraId="2A03711B" w14:textId="77777777" w:rsidTr="00CE29ED">
        <w:tc>
          <w:tcPr>
            <w:cnfStyle w:val="001000000000" w:firstRow="0" w:lastRow="0" w:firstColumn="1" w:lastColumn="0" w:oddVBand="0" w:evenVBand="0" w:oddHBand="0" w:evenHBand="0" w:firstRowFirstColumn="0" w:firstRowLastColumn="0" w:lastRowFirstColumn="0" w:lastRowLastColumn="0"/>
            <w:tcW w:w="1318" w:type="dxa"/>
          </w:tcPr>
          <w:p w14:paraId="6E598B1D" w14:textId="77777777" w:rsidR="00CE29ED" w:rsidRPr="00987473" w:rsidRDefault="00CE29ED" w:rsidP="002564EF">
            <w:pPr>
              <w:rPr>
                <w:rFonts w:ascii="Arial" w:hAnsi="Arial" w:cs="Arial"/>
                <w:b w:val="0"/>
                <w:bCs w:val="0"/>
              </w:rPr>
            </w:pPr>
          </w:p>
        </w:tc>
        <w:tc>
          <w:tcPr>
            <w:tcW w:w="1031" w:type="dxa"/>
          </w:tcPr>
          <w:p w14:paraId="7C3ADC88" w14:textId="77777777" w:rsidR="00CE29ED" w:rsidRPr="00987473" w:rsidRDefault="00CE29ED" w:rsidP="002564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73" w:type="dxa"/>
          </w:tcPr>
          <w:p w14:paraId="792B3720" w14:textId="77777777" w:rsidR="00CE29ED" w:rsidRPr="00987473" w:rsidRDefault="00CE29ED" w:rsidP="002564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28" w:type="dxa"/>
          </w:tcPr>
          <w:p w14:paraId="09EED238" w14:textId="77777777" w:rsidR="00CE29ED" w:rsidRPr="00987473" w:rsidRDefault="00CE29ED" w:rsidP="002564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E29ED" w:rsidRPr="00CA17D8" w14:paraId="3E8D0D55" w14:textId="77777777" w:rsidTr="00CE2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6116EC94" w14:textId="77777777" w:rsidR="00CE29ED" w:rsidRPr="00987473" w:rsidRDefault="00CE29ED" w:rsidP="002564EF">
            <w:pPr>
              <w:rPr>
                <w:rFonts w:ascii="Arial" w:hAnsi="Arial" w:cs="Arial"/>
                <w:b w:val="0"/>
                <w:bCs w:val="0"/>
              </w:rPr>
            </w:pPr>
          </w:p>
        </w:tc>
        <w:tc>
          <w:tcPr>
            <w:tcW w:w="1031" w:type="dxa"/>
          </w:tcPr>
          <w:p w14:paraId="477EC674" w14:textId="77777777" w:rsidR="00CE29ED" w:rsidRPr="00987473" w:rsidRDefault="00CE29ED" w:rsidP="002564E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273" w:type="dxa"/>
          </w:tcPr>
          <w:p w14:paraId="65901E10" w14:textId="77777777" w:rsidR="00CE29ED" w:rsidRPr="00987473" w:rsidRDefault="00CE29ED" w:rsidP="002564E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28" w:type="dxa"/>
          </w:tcPr>
          <w:p w14:paraId="64DE486B" w14:textId="77777777" w:rsidR="00CE29ED" w:rsidRPr="00987473" w:rsidRDefault="00CE29ED" w:rsidP="002564E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4455543" w14:textId="77777777" w:rsidR="00CE29ED" w:rsidRPr="007256FF" w:rsidRDefault="00CE29ED" w:rsidP="00CE29ED">
      <w:pPr>
        <w:pStyle w:val="ListParagraph"/>
        <w:ind w:left="720"/>
      </w:pPr>
    </w:p>
    <w:p w14:paraId="5B0BB5A7" w14:textId="11D6EF5B" w:rsidR="003B2BB0" w:rsidRDefault="003B2BB0">
      <w:pPr>
        <w:spacing w:before="80" w:after="80"/>
      </w:pPr>
    </w:p>
    <w:sectPr w:rsidR="003B2BB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7C5A" w14:textId="77777777" w:rsidR="003C27D6" w:rsidRDefault="003C27D6">
      <w:r>
        <w:separator/>
      </w:r>
    </w:p>
  </w:endnote>
  <w:endnote w:type="continuationSeparator" w:id="0">
    <w:p w14:paraId="3047AE03" w14:textId="77777777" w:rsidR="003C27D6" w:rsidRDefault="003C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FEA7" w14:textId="77777777" w:rsidR="007E76AE" w:rsidRPr="0034331B" w:rsidRDefault="007E76AE" w:rsidP="007E76AE">
    <w:pPr>
      <w:pStyle w:val="Footer"/>
      <w:tabs>
        <w:tab w:val="clear" w:pos="4680"/>
        <w:tab w:val="clear" w:pos="9360"/>
      </w:tabs>
      <w:jc w:val="center"/>
      <w:rPr>
        <w:caps/>
        <w:noProof/>
        <w:color w:val="000000" w:themeColor="text1"/>
      </w:rPr>
    </w:pPr>
    <w:r w:rsidRPr="0034331B">
      <w:rPr>
        <w:caps/>
        <w:color w:val="000000" w:themeColor="text1"/>
      </w:rPr>
      <w:fldChar w:fldCharType="begin"/>
    </w:r>
    <w:r w:rsidRPr="0034331B">
      <w:rPr>
        <w:caps/>
        <w:color w:val="000000" w:themeColor="text1"/>
      </w:rPr>
      <w:instrText xml:space="preserve"> PAGE   \* MERGEFORMAT </w:instrText>
    </w:r>
    <w:r w:rsidRPr="0034331B">
      <w:rPr>
        <w:caps/>
        <w:color w:val="000000" w:themeColor="text1"/>
      </w:rPr>
      <w:fldChar w:fldCharType="separate"/>
    </w:r>
    <w:r>
      <w:rPr>
        <w:caps/>
        <w:color w:val="000000" w:themeColor="text1"/>
      </w:rPr>
      <w:t>2</w:t>
    </w:r>
    <w:r w:rsidRPr="0034331B">
      <w:rPr>
        <w:caps/>
        <w:noProof/>
        <w:color w:val="000000" w:themeColor="text1"/>
      </w:rPr>
      <w:fldChar w:fldCharType="end"/>
    </w:r>
  </w:p>
  <w:p w14:paraId="50091CC2" w14:textId="04CB227B" w:rsidR="003B2BB0" w:rsidRPr="007E76AE" w:rsidRDefault="007E76AE" w:rsidP="007E76AE">
    <w:pPr>
      <w:pStyle w:val="Footer"/>
      <w:tabs>
        <w:tab w:val="clear" w:pos="4680"/>
        <w:tab w:val="clear" w:pos="9360"/>
      </w:tabs>
      <w:jc w:val="center"/>
      <w:rPr>
        <w:b/>
        <w:bCs/>
        <w:caps/>
        <w:noProof/>
        <w:color w:val="FF0000"/>
      </w:rPr>
    </w:pPr>
    <w:r w:rsidRPr="0034331B">
      <w:rPr>
        <w:b/>
        <w:bCs/>
        <w:caps/>
        <w:noProof/>
        <w:color w:val="FF000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0E10" w14:textId="77777777" w:rsidR="003C27D6" w:rsidRDefault="003C27D6">
      <w:r>
        <w:separator/>
      </w:r>
    </w:p>
  </w:footnote>
  <w:footnote w:type="continuationSeparator" w:id="0">
    <w:p w14:paraId="4F0384A6" w14:textId="77777777" w:rsidR="003C27D6" w:rsidRDefault="003C2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A724" w14:textId="149EDA3C" w:rsidR="007E76AE" w:rsidRDefault="007E76AE">
    <w:pPr>
      <w:pStyle w:val="Header"/>
    </w:pPr>
    <w:r>
      <w:rPr>
        <w:noProof/>
      </w:rPr>
      <w:drawing>
        <wp:anchor distT="0" distB="0" distL="114300" distR="114300" simplePos="0" relativeHeight="251659264" behindDoc="0" locked="0" layoutInCell="1" allowOverlap="1" wp14:anchorId="2D26DD81" wp14:editId="4359A136">
          <wp:simplePos x="0" y="0"/>
          <wp:positionH relativeFrom="column">
            <wp:posOffset>4867275</wp:posOffset>
          </wp:positionH>
          <wp:positionV relativeFrom="paragraph">
            <wp:posOffset>-135255</wp:posOffset>
          </wp:positionV>
          <wp:extent cx="1562100" cy="678180"/>
          <wp:effectExtent l="0" t="0" r="0" b="0"/>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265C1"/>
    <w:multiLevelType w:val="hybridMultilevel"/>
    <w:tmpl w:val="E23C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E3ABF"/>
    <w:multiLevelType w:val="hybridMultilevel"/>
    <w:tmpl w:val="0394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240E4"/>
    <w:multiLevelType w:val="hybridMultilevel"/>
    <w:tmpl w:val="74623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AB7633"/>
    <w:multiLevelType w:val="hybridMultilevel"/>
    <w:tmpl w:val="935A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61608"/>
    <w:multiLevelType w:val="hybridMultilevel"/>
    <w:tmpl w:val="EEFA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0E072F"/>
    <w:multiLevelType w:val="hybridMultilevel"/>
    <w:tmpl w:val="A2460AC4"/>
    <w:lvl w:ilvl="0" w:tplc="5EBCCD20">
      <w:start w:val="1"/>
      <w:numFmt w:val="bullet"/>
      <w:lvlText w:val="•"/>
      <w:lvlJc w:val="left"/>
      <w:pPr>
        <w:ind w:left="720" w:hanging="360"/>
      </w:pPr>
    </w:lvl>
    <w:lvl w:ilvl="1" w:tplc="C504AC2E">
      <w:numFmt w:val="decimal"/>
      <w:lvlText w:val=""/>
      <w:lvlJc w:val="left"/>
    </w:lvl>
    <w:lvl w:ilvl="2" w:tplc="F0BAABBC">
      <w:numFmt w:val="decimal"/>
      <w:lvlText w:val=""/>
      <w:lvlJc w:val="left"/>
    </w:lvl>
    <w:lvl w:ilvl="3" w:tplc="E7F2B3EE">
      <w:numFmt w:val="decimal"/>
      <w:lvlText w:val=""/>
      <w:lvlJc w:val="left"/>
    </w:lvl>
    <w:lvl w:ilvl="4" w:tplc="54BC0D0E">
      <w:numFmt w:val="decimal"/>
      <w:lvlText w:val=""/>
      <w:lvlJc w:val="left"/>
    </w:lvl>
    <w:lvl w:ilvl="5" w:tplc="165C0C6C">
      <w:numFmt w:val="decimal"/>
      <w:lvlText w:val=""/>
      <w:lvlJc w:val="left"/>
    </w:lvl>
    <w:lvl w:ilvl="6" w:tplc="ED3A4EFC">
      <w:numFmt w:val="decimal"/>
      <w:lvlText w:val=""/>
      <w:lvlJc w:val="left"/>
    </w:lvl>
    <w:lvl w:ilvl="7" w:tplc="AB904F72">
      <w:numFmt w:val="decimal"/>
      <w:lvlText w:val=""/>
      <w:lvlJc w:val="left"/>
    </w:lvl>
    <w:lvl w:ilvl="8" w:tplc="238C071A">
      <w:numFmt w:val="decimal"/>
      <w:lvlText w:val=""/>
      <w:lvlJc w:val="left"/>
    </w:lvl>
  </w:abstractNum>
  <w:abstractNum w:abstractNumId="6" w15:restartNumberingAfterBreak="0">
    <w:nsid w:val="75656224"/>
    <w:multiLevelType w:val="hybridMultilevel"/>
    <w:tmpl w:val="A052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40A5C"/>
    <w:multiLevelType w:val="hybridMultilevel"/>
    <w:tmpl w:val="4F909646"/>
    <w:lvl w:ilvl="0" w:tplc="A3F227B0">
      <w:start w:val="1"/>
      <w:numFmt w:val="bullet"/>
      <w:lvlText w:val="●"/>
      <w:lvlJc w:val="left"/>
      <w:pPr>
        <w:ind w:left="720" w:hanging="360"/>
      </w:pPr>
    </w:lvl>
    <w:lvl w:ilvl="1" w:tplc="E6C484C0">
      <w:start w:val="1"/>
      <w:numFmt w:val="bullet"/>
      <w:lvlText w:val="○"/>
      <w:lvlJc w:val="left"/>
      <w:pPr>
        <w:ind w:left="1440" w:hanging="360"/>
      </w:pPr>
    </w:lvl>
    <w:lvl w:ilvl="2" w:tplc="436CE422">
      <w:start w:val="1"/>
      <w:numFmt w:val="bullet"/>
      <w:lvlText w:val="■"/>
      <w:lvlJc w:val="left"/>
      <w:pPr>
        <w:ind w:left="2160" w:hanging="360"/>
      </w:pPr>
    </w:lvl>
    <w:lvl w:ilvl="3" w:tplc="A85EA15C">
      <w:start w:val="1"/>
      <w:numFmt w:val="bullet"/>
      <w:lvlText w:val="●"/>
      <w:lvlJc w:val="left"/>
      <w:pPr>
        <w:ind w:left="2880" w:hanging="360"/>
      </w:pPr>
    </w:lvl>
    <w:lvl w:ilvl="4" w:tplc="E3885910">
      <w:start w:val="1"/>
      <w:numFmt w:val="bullet"/>
      <w:lvlText w:val="○"/>
      <w:lvlJc w:val="left"/>
      <w:pPr>
        <w:ind w:left="3600" w:hanging="360"/>
      </w:pPr>
    </w:lvl>
    <w:lvl w:ilvl="5" w:tplc="1C10EBE6">
      <w:start w:val="1"/>
      <w:numFmt w:val="bullet"/>
      <w:lvlText w:val="■"/>
      <w:lvlJc w:val="left"/>
      <w:pPr>
        <w:ind w:left="4320" w:hanging="360"/>
      </w:pPr>
    </w:lvl>
    <w:lvl w:ilvl="6" w:tplc="89CA8C50">
      <w:start w:val="1"/>
      <w:numFmt w:val="bullet"/>
      <w:lvlText w:val="●"/>
      <w:lvlJc w:val="left"/>
      <w:pPr>
        <w:ind w:left="5040" w:hanging="360"/>
      </w:pPr>
    </w:lvl>
    <w:lvl w:ilvl="7" w:tplc="537670EA">
      <w:start w:val="1"/>
      <w:numFmt w:val="bullet"/>
      <w:lvlText w:val="●"/>
      <w:lvlJc w:val="left"/>
      <w:pPr>
        <w:ind w:left="5760" w:hanging="360"/>
      </w:pPr>
    </w:lvl>
    <w:lvl w:ilvl="8" w:tplc="48E270F8">
      <w:start w:val="1"/>
      <w:numFmt w:val="bullet"/>
      <w:lvlText w:val="●"/>
      <w:lvlJc w:val="left"/>
      <w:pPr>
        <w:ind w:left="6480" w:hanging="360"/>
      </w:pPr>
    </w:lvl>
  </w:abstractNum>
  <w:abstractNum w:abstractNumId="8" w15:restartNumberingAfterBreak="0">
    <w:nsid w:val="7C064084"/>
    <w:multiLevelType w:val="hybridMultilevel"/>
    <w:tmpl w:val="B2E8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861085">
    <w:abstractNumId w:val="7"/>
    <w:lvlOverride w:ilvl="0">
      <w:startOverride w:val="1"/>
    </w:lvlOverride>
  </w:num>
  <w:num w:numId="2" w16cid:durableId="657728962">
    <w:abstractNumId w:val="5"/>
    <w:lvlOverride w:ilvl="0">
      <w:startOverride w:val="1"/>
    </w:lvlOverride>
  </w:num>
  <w:num w:numId="3" w16cid:durableId="485245877">
    <w:abstractNumId w:val="4"/>
  </w:num>
  <w:num w:numId="4" w16cid:durableId="1498034444">
    <w:abstractNumId w:val="3"/>
  </w:num>
  <w:num w:numId="5" w16cid:durableId="505943031">
    <w:abstractNumId w:val="0"/>
  </w:num>
  <w:num w:numId="6" w16cid:durableId="402995928">
    <w:abstractNumId w:val="2"/>
  </w:num>
  <w:num w:numId="7" w16cid:durableId="2109806586">
    <w:abstractNumId w:val="8"/>
  </w:num>
  <w:num w:numId="8" w16cid:durableId="1826585394">
    <w:abstractNumId w:val="6"/>
  </w:num>
  <w:num w:numId="9" w16cid:durableId="158237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BB0"/>
    <w:rsid w:val="00087836"/>
    <w:rsid w:val="003B2BB0"/>
    <w:rsid w:val="003C27D6"/>
    <w:rsid w:val="00493B1B"/>
    <w:rsid w:val="0073733E"/>
    <w:rsid w:val="007E76AE"/>
    <w:rsid w:val="008A756A"/>
    <w:rsid w:val="009C470F"/>
    <w:rsid w:val="00CE29ED"/>
    <w:rsid w:val="00E6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45576"/>
  <w15:docId w15:val="{1B1FCEB3-F896-474E-B519-B657A3BC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003366"/>
      <w:sz w:val="28"/>
      <w:szCs w:val="28"/>
    </w:rPr>
  </w:style>
  <w:style w:type="paragraph" w:styleId="Heading2">
    <w:name w:val="heading 2"/>
    <w:uiPriority w:val="9"/>
    <w:unhideWhenUsed/>
    <w:qFormat/>
    <w:pPr>
      <w:spacing w:before="240" w:after="120"/>
      <w:outlineLvl w:val="1"/>
    </w:pPr>
    <w:rPr>
      <w:b/>
      <w:bCs/>
      <w:color w:val="0033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E76AE"/>
    <w:pPr>
      <w:tabs>
        <w:tab w:val="center" w:pos="4680"/>
        <w:tab w:val="right" w:pos="9360"/>
      </w:tabs>
    </w:pPr>
  </w:style>
  <w:style w:type="character" w:customStyle="1" w:styleId="HeaderChar">
    <w:name w:val="Header Char"/>
    <w:basedOn w:val="DefaultParagraphFont"/>
    <w:link w:val="Header"/>
    <w:uiPriority w:val="99"/>
    <w:rsid w:val="007E76AE"/>
  </w:style>
  <w:style w:type="paragraph" w:styleId="Footer">
    <w:name w:val="footer"/>
    <w:basedOn w:val="Normal"/>
    <w:link w:val="FooterChar"/>
    <w:uiPriority w:val="99"/>
    <w:unhideWhenUsed/>
    <w:rsid w:val="007E76AE"/>
    <w:pPr>
      <w:tabs>
        <w:tab w:val="center" w:pos="4680"/>
        <w:tab w:val="right" w:pos="9360"/>
      </w:tabs>
    </w:pPr>
  </w:style>
  <w:style w:type="character" w:customStyle="1" w:styleId="FooterChar">
    <w:name w:val="Footer Char"/>
    <w:basedOn w:val="DefaultParagraphFont"/>
    <w:link w:val="Footer"/>
    <w:uiPriority w:val="99"/>
    <w:rsid w:val="007E76AE"/>
  </w:style>
  <w:style w:type="table" w:styleId="GridTable6Colorful">
    <w:name w:val="Grid Table 6 Colorful"/>
    <w:basedOn w:val="TableNormal"/>
    <w:uiPriority w:val="51"/>
    <w:rsid w:val="00CE29ED"/>
    <w:rPr>
      <w:rFonts w:asciiTheme="minorHAnsi" w:eastAsiaTheme="minorHAnsi" w:hAnsiTheme="minorHAnsi" w:cstheme="minorBid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Holly Henderson</cp:lastModifiedBy>
  <cp:revision>3</cp:revision>
  <dcterms:created xsi:type="dcterms:W3CDTF">2026-06-09T18:18:00Z</dcterms:created>
  <dcterms:modified xsi:type="dcterms:W3CDTF">2026-06-09T18:22:00Z</dcterms:modified>
</cp:coreProperties>
</file>