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0DF4" w14:textId="77777777" w:rsidR="009E137B" w:rsidRDefault="009E137B" w:rsidP="007E76AE">
      <w:pPr>
        <w:spacing w:line="259" w:lineRule="auto"/>
        <w:jc w:val="center"/>
        <w:rPr>
          <w:rFonts w:eastAsiaTheme="minorHAnsi"/>
          <w:b/>
          <w:bCs/>
          <w:sz w:val="24"/>
          <w:szCs w:val="24"/>
        </w:rPr>
      </w:pPr>
      <w:r w:rsidRPr="009E137B">
        <w:rPr>
          <w:rFonts w:eastAsiaTheme="minorHAnsi"/>
          <w:b/>
          <w:bCs/>
          <w:sz w:val="24"/>
          <w:szCs w:val="24"/>
        </w:rPr>
        <w:t>Sustainable Procurement Policy</w:t>
      </w:r>
    </w:p>
    <w:p w14:paraId="59E4BC72" w14:textId="0AA90B10" w:rsidR="003B2BB0" w:rsidRDefault="009C470F" w:rsidP="007E76AE">
      <w:pPr>
        <w:spacing w:line="259" w:lineRule="auto"/>
        <w:jc w:val="center"/>
        <w:rPr>
          <w:rFonts w:eastAsiaTheme="minorHAnsi"/>
          <w:sz w:val="24"/>
          <w:szCs w:val="24"/>
        </w:rPr>
      </w:pPr>
      <w:r w:rsidRPr="007E76AE">
        <w:rPr>
          <w:rFonts w:eastAsiaTheme="minorHAnsi"/>
          <w:sz w:val="24"/>
          <w:szCs w:val="24"/>
        </w:rPr>
        <w:t>Version 1.0</w:t>
      </w:r>
    </w:p>
    <w:p w14:paraId="78CFE9F6" w14:textId="77777777" w:rsidR="007E76AE" w:rsidRDefault="007E76AE" w:rsidP="007E76AE">
      <w:pPr>
        <w:spacing w:line="259" w:lineRule="auto"/>
        <w:jc w:val="center"/>
        <w:rPr>
          <w:rFonts w:eastAsiaTheme="minorHAnsi"/>
          <w:sz w:val="24"/>
          <w:szCs w:val="24"/>
        </w:rPr>
      </w:pPr>
    </w:p>
    <w:p w14:paraId="13EC513E" w14:textId="77777777" w:rsidR="007E76AE" w:rsidRDefault="007E76AE" w:rsidP="007E76AE">
      <w:pPr>
        <w:spacing w:line="259" w:lineRule="auto"/>
        <w:jc w:val="center"/>
        <w:rPr>
          <w:rFonts w:eastAsiaTheme="minorHAnsi"/>
          <w:sz w:val="24"/>
          <w:szCs w:val="24"/>
        </w:rPr>
      </w:pPr>
    </w:p>
    <w:p w14:paraId="49B2C9A1" w14:textId="77777777"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PURPOSE</w:t>
      </w:r>
    </w:p>
    <w:p w14:paraId="261E4A58" w14:textId="77777777" w:rsidR="009E137B" w:rsidRPr="009E137B" w:rsidRDefault="009E137B" w:rsidP="009E137B">
      <w:pPr>
        <w:spacing w:after="160" w:line="259" w:lineRule="auto"/>
        <w:rPr>
          <w:rFonts w:eastAsiaTheme="minorHAnsi"/>
          <w:sz w:val="24"/>
          <w:szCs w:val="24"/>
        </w:rPr>
      </w:pPr>
      <w:r w:rsidRPr="009E137B">
        <w:rPr>
          <w:rFonts w:eastAsiaTheme="minorHAnsi"/>
          <w:sz w:val="24"/>
          <w:szCs w:val="24"/>
        </w:rPr>
        <w:t>M10TEK, LLC and M10 Technology Canada, Inc. (collectively 'M10TEK') are committed to conducting procurement activities in a manner that reflects our values with respect to environmental responsibility, ethical business practices, and social fairness. This policy establishes M10TEK's commitments and objectives for sustainable procurement -- that is, the integration of environmental and social considerations into vendor and supplier selection decisions alongside conventional factors such as price, quality, functionality, and reliability.</w:t>
      </w:r>
    </w:p>
    <w:p w14:paraId="7E207B0B" w14:textId="77777777" w:rsidR="009E137B" w:rsidRDefault="009E137B" w:rsidP="009E137B">
      <w:pPr>
        <w:spacing w:after="160" w:line="259" w:lineRule="auto"/>
        <w:rPr>
          <w:rFonts w:eastAsiaTheme="minorHAnsi"/>
          <w:sz w:val="24"/>
          <w:szCs w:val="24"/>
        </w:rPr>
      </w:pPr>
      <w:r w:rsidRPr="009E137B">
        <w:rPr>
          <w:rFonts w:eastAsiaTheme="minorHAnsi"/>
          <w:sz w:val="24"/>
          <w:szCs w:val="24"/>
        </w:rPr>
        <w:t>M10TEK acknowledges that as a fully remote SAP consulting and IT staffing firm, its supply chain consists primarily of software-as-a-service (SaaS) platforms, cloud infrastructure providers, and professional services vendors rather than physical goods suppliers. This policy reflects that reality honestly and establishes practical, achievable objectives grounded in M10TEK's actual procurement activities.</w:t>
      </w:r>
    </w:p>
    <w:p w14:paraId="5C65C299" w14:textId="4F5EAD05" w:rsidR="003B2BB0" w:rsidRPr="00CE29ED" w:rsidRDefault="009C470F" w:rsidP="009E137B">
      <w:pPr>
        <w:spacing w:after="160" w:line="259" w:lineRule="auto"/>
        <w:rPr>
          <w:rFonts w:eastAsiaTheme="minorHAnsi"/>
          <w:b/>
          <w:bCs/>
          <w:sz w:val="24"/>
          <w:szCs w:val="24"/>
        </w:rPr>
      </w:pPr>
      <w:r w:rsidRPr="00CE29ED">
        <w:rPr>
          <w:rFonts w:eastAsiaTheme="minorHAnsi"/>
          <w:b/>
          <w:bCs/>
          <w:sz w:val="24"/>
          <w:szCs w:val="24"/>
        </w:rPr>
        <w:t>SCOPE</w:t>
      </w:r>
    </w:p>
    <w:p w14:paraId="1F103AAD" w14:textId="77777777" w:rsidR="009E137B" w:rsidRPr="009E137B" w:rsidRDefault="009E137B" w:rsidP="009E137B">
      <w:pPr>
        <w:spacing w:before="160"/>
        <w:rPr>
          <w:rFonts w:eastAsiaTheme="minorHAnsi"/>
          <w:sz w:val="24"/>
          <w:szCs w:val="24"/>
        </w:rPr>
      </w:pPr>
      <w:r w:rsidRPr="009E137B">
        <w:rPr>
          <w:rFonts w:eastAsiaTheme="minorHAnsi"/>
          <w:sz w:val="24"/>
          <w:szCs w:val="24"/>
        </w:rPr>
        <w:t>This policy applies to all procurement decisions made by M10TEK and M10 Technology Canada, Inc., including the selection and renewal of software platforms, cloud services, professional services vendors, and any other third-party suppliers engaged by M10TEK in the course of its operations. It applies to all Associates involved in vendor evaluation, selection, or management.</w:t>
      </w:r>
    </w:p>
    <w:p w14:paraId="308880F4" w14:textId="4CA7B851" w:rsidR="00087836" w:rsidRDefault="009E137B" w:rsidP="009E137B">
      <w:pPr>
        <w:spacing w:before="160"/>
        <w:rPr>
          <w:rFonts w:eastAsiaTheme="minorHAnsi"/>
          <w:sz w:val="24"/>
          <w:szCs w:val="24"/>
        </w:rPr>
      </w:pPr>
      <w:r w:rsidRPr="009E137B">
        <w:rPr>
          <w:rFonts w:eastAsiaTheme="minorHAnsi"/>
          <w:sz w:val="24"/>
          <w:szCs w:val="24"/>
        </w:rPr>
        <w:t>M10TEK's primary vendor categories include: document management and cloud storage (SmartVault / AWS), productivity and collaboration software (Microsoft 365), contractor management (SAP Fieldglass), and professional services and staffing vendors.</w:t>
      </w:r>
    </w:p>
    <w:p w14:paraId="7514EE4B" w14:textId="77777777" w:rsidR="009E137B" w:rsidRDefault="009E137B" w:rsidP="009E137B">
      <w:pPr>
        <w:spacing w:before="160"/>
      </w:pPr>
    </w:p>
    <w:p w14:paraId="386AD513" w14:textId="77777777" w:rsidR="009E137B" w:rsidRDefault="009C470F" w:rsidP="00CE29ED">
      <w:pPr>
        <w:spacing w:after="160" w:line="259" w:lineRule="auto"/>
        <w:rPr>
          <w:rFonts w:eastAsiaTheme="minorHAnsi"/>
          <w:b/>
          <w:bCs/>
          <w:sz w:val="24"/>
          <w:szCs w:val="24"/>
        </w:rPr>
      </w:pPr>
      <w:r w:rsidRPr="00CE29ED">
        <w:rPr>
          <w:rFonts w:eastAsiaTheme="minorHAnsi"/>
          <w:b/>
          <w:bCs/>
          <w:sz w:val="24"/>
          <w:szCs w:val="24"/>
        </w:rPr>
        <w:t xml:space="preserve">1. </w:t>
      </w:r>
      <w:r w:rsidR="009E137B" w:rsidRPr="009E137B">
        <w:rPr>
          <w:rFonts w:eastAsiaTheme="minorHAnsi"/>
          <w:b/>
          <w:bCs/>
          <w:sz w:val="24"/>
          <w:szCs w:val="24"/>
        </w:rPr>
        <w:t>SUPPLIER ENVIRONMENTAL PRACTICES</w:t>
      </w:r>
    </w:p>
    <w:p w14:paraId="40C2C9AA" w14:textId="1CD553FA"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 xml:space="preserve">1.1  </w:t>
      </w:r>
      <w:r w:rsidR="009E137B">
        <w:rPr>
          <w:rFonts w:eastAsiaTheme="minorHAnsi"/>
          <w:b/>
          <w:bCs/>
          <w:sz w:val="24"/>
          <w:szCs w:val="24"/>
        </w:rPr>
        <w:t>Commitment</w:t>
      </w:r>
    </w:p>
    <w:p w14:paraId="4C04805E" w14:textId="082CEBA9" w:rsidR="00087836" w:rsidRDefault="009E137B" w:rsidP="00087836">
      <w:pPr>
        <w:spacing w:before="80"/>
        <w:rPr>
          <w:rFonts w:eastAsiaTheme="minorHAnsi"/>
          <w:sz w:val="24"/>
          <w:szCs w:val="24"/>
        </w:rPr>
      </w:pPr>
      <w:r w:rsidRPr="009E137B">
        <w:rPr>
          <w:rFonts w:eastAsiaTheme="minorHAnsi"/>
          <w:sz w:val="24"/>
          <w:szCs w:val="24"/>
        </w:rPr>
        <w:t>M10TEK is committed to managing the risks of adverse environmental impacts in its supply chain and to giving preference to vendors and suppliers that demonstrate strong environmental practices. M10TEK recognizes that the environmental performance of its technology suppliers -- particularly cloud infrastructure providers -- has a direct bearing on M10TEK's own environmental footprint.</w:t>
      </w:r>
    </w:p>
    <w:p w14:paraId="09A56B28" w14:textId="77777777" w:rsidR="009E137B" w:rsidRDefault="009E137B" w:rsidP="00087836">
      <w:pPr>
        <w:spacing w:before="80"/>
      </w:pPr>
    </w:p>
    <w:p w14:paraId="6AF4319D" w14:textId="3C19C5A3"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 xml:space="preserve">1.2  </w:t>
      </w:r>
      <w:r w:rsidR="00087836" w:rsidRPr="00087836">
        <w:rPr>
          <w:rFonts w:eastAsiaTheme="minorHAnsi"/>
          <w:b/>
          <w:bCs/>
          <w:sz w:val="24"/>
          <w:szCs w:val="24"/>
        </w:rPr>
        <w:t>Qualitative Objectives</w:t>
      </w:r>
    </w:p>
    <w:p w14:paraId="5BE347E0" w14:textId="77777777" w:rsidR="009E137B" w:rsidRPr="009E137B" w:rsidRDefault="009E137B" w:rsidP="009E137B">
      <w:pPr>
        <w:pStyle w:val="ListParagraph"/>
        <w:numPr>
          <w:ilvl w:val="0"/>
          <w:numId w:val="10"/>
        </w:numPr>
        <w:spacing w:before="160"/>
        <w:rPr>
          <w:rFonts w:eastAsiaTheme="minorHAnsi"/>
          <w:sz w:val="24"/>
          <w:szCs w:val="24"/>
        </w:rPr>
      </w:pPr>
      <w:r w:rsidRPr="009E137B">
        <w:rPr>
          <w:rFonts w:eastAsiaTheme="minorHAnsi"/>
          <w:sz w:val="24"/>
          <w:szCs w:val="24"/>
        </w:rPr>
        <w:t xml:space="preserve">Give preference to cloud and SaaS vendors that demonstrate a credible commitment to renewable energy use, energy efficiency, and GHG emissions </w:t>
      </w:r>
      <w:r w:rsidRPr="009E137B">
        <w:rPr>
          <w:rFonts w:eastAsiaTheme="minorHAnsi"/>
          <w:sz w:val="24"/>
          <w:szCs w:val="24"/>
        </w:rPr>
        <w:lastRenderedPageBreak/>
        <w:t>reduction in their own operations. M10TEK's current primary cloud provider (SmartVault, hosted on AWS) operates highly energy-efficient data centers with significant renewable energy commitments, which aligns with this objective.</w:t>
      </w:r>
    </w:p>
    <w:p w14:paraId="39493624" w14:textId="77777777" w:rsidR="009E137B" w:rsidRPr="009E137B" w:rsidRDefault="009E137B" w:rsidP="009E137B">
      <w:pPr>
        <w:pStyle w:val="ListParagraph"/>
        <w:numPr>
          <w:ilvl w:val="0"/>
          <w:numId w:val="10"/>
        </w:numPr>
        <w:spacing w:before="160"/>
        <w:rPr>
          <w:rFonts w:eastAsiaTheme="minorHAnsi"/>
          <w:sz w:val="24"/>
          <w:szCs w:val="24"/>
        </w:rPr>
      </w:pPr>
      <w:r w:rsidRPr="009E137B">
        <w:rPr>
          <w:rFonts w:eastAsiaTheme="minorHAnsi"/>
          <w:sz w:val="24"/>
          <w:szCs w:val="24"/>
        </w:rPr>
        <w:t>When evaluating new vendors or renewing existing vendor relationships, consider the vendor's environmental policies, certifications, and sustainability commitments as a factor in the selection process alongside price, functionality, and reliability.</w:t>
      </w:r>
    </w:p>
    <w:p w14:paraId="48AECDC8" w14:textId="77777777" w:rsidR="009E137B" w:rsidRPr="009E137B" w:rsidRDefault="009E137B" w:rsidP="009E137B">
      <w:pPr>
        <w:pStyle w:val="ListParagraph"/>
        <w:numPr>
          <w:ilvl w:val="0"/>
          <w:numId w:val="10"/>
        </w:numPr>
        <w:spacing w:before="160"/>
        <w:rPr>
          <w:rFonts w:eastAsiaTheme="minorHAnsi"/>
          <w:sz w:val="24"/>
          <w:szCs w:val="24"/>
        </w:rPr>
      </w:pPr>
      <w:r w:rsidRPr="009E137B">
        <w:rPr>
          <w:rFonts w:eastAsiaTheme="minorHAnsi"/>
          <w:sz w:val="24"/>
          <w:szCs w:val="24"/>
        </w:rPr>
        <w:t>Maintain M10TEK's cloud-only, paperless-first operating model as an ongoing procurement principle -- preferring digital, cloud-based solutions over physical or on-premise alternatives that carry a higher energy and materials footprint.</w:t>
      </w:r>
    </w:p>
    <w:p w14:paraId="75194F2A" w14:textId="77777777" w:rsidR="009E137B" w:rsidRPr="009E137B" w:rsidRDefault="009E137B" w:rsidP="009E137B">
      <w:pPr>
        <w:pStyle w:val="ListParagraph"/>
        <w:numPr>
          <w:ilvl w:val="0"/>
          <w:numId w:val="10"/>
        </w:numPr>
        <w:spacing w:before="160"/>
        <w:rPr>
          <w:rFonts w:eastAsiaTheme="minorHAnsi"/>
          <w:sz w:val="24"/>
          <w:szCs w:val="24"/>
        </w:rPr>
      </w:pPr>
      <w:r w:rsidRPr="009E137B">
        <w:rPr>
          <w:rFonts w:eastAsiaTheme="minorHAnsi"/>
          <w:sz w:val="24"/>
          <w:szCs w:val="24"/>
        </w:rPr>
        <w:t>Avoid procuring unnecessary hardware or physical equipment. When hardware procurement is required, prefer vendors that offer energy-efficient products, responsible packaging, and end-of-life take-back or recycling programs.</w:t>
      </w:r>
    </w:p>
    <w:p w14:paraId="66FEF278" w14:textId="77777777" w:rsidR="009E137B" w:rsidRPr="009E137B" w:rsidRDefault="009E137B" w:rsidP="009E137B">
      <w:pPr>
        <w:pStyle w:val="ListParagraph"/>
        <w:numPr>
          <w:ilvl w:val="0"/>
          <w:numId w:val="10"/>
        </w:numPr>
        <w:spacing w:before="160"/>
        <w:rPr>
          <w:rFonts w:eastAsiaTheme="minorHAnsi"/>
          <w:sz w:val="24"/>
          <w:szCs w:val="24"/>
        </w:rPr>
      </w:pPr>
      <w:r w:rsidRPr="009E137B">
        <w:rPr>
          <w:rFonts w:eastAsiaTheme="minorHAnsi"/>
          <w:sz w:val="24"/>
          <w:szCs w:val="24"/>
        </w:rPr>
        <w:t>Evaluate the feasibility of formally assessing the environmental sustainability credentials of M10TEK's primary vendors on an annual basis as part of the vendor review cycle.</w:t>
      </w:r>
    </w:p>
    <w:p w14:paraId="1A7A190F" w14:textId="77777777" w:rsidR="003B2BB0" w:rsidRDefault="003B2BB0">
      <w:pPr>
        <w:spacing w:before="160"/>
      </w:pPr>
    </w:p>
    <w:p w14:paraId="6C56B567" w14:textId="7F033D71"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 xml:space="preserve">2.  </w:t>
      </w:r>
      <w:r w:rsidR="009E137B" w:rsidRPr="009E137B">
        <w:rPr>
          <w:rFonts w:eastAsiaTheme="minorHAnsi"/>
          <w:b/>
          <w:bCs/>
          <w:sz w:val="24"/>
          <w:szCs w:val="24"/>
        </w:rPr>
        <w:t>SUPPLIER SOCIAL PRACTICES</w:t>
      </w:r>
      <w:r w:rsidRPr="00CE29ED">
        <w:rPr>
          <w:rFonts w:eastAsiaTheme="minorHAnsi"/>
          <w:b/>
          <w:bCs/>
          <w:sz w:val="24"/>
          <w:szCs w:val="24"/>
        </w:rPr>
        <w:t xml:space="preserve">2.1  </w:t>
      </w:r>
      <w:r w:rsidR="00087836">
        <w:rPr>
          <w:rFonts w:eastAsiaTheme="minorHAnsi"/>
          <w:b/>
          <w:bCs/>
          <w:sz w:val="24"/>
          <w:szCs w:val="24"/>
        </w:rPr>
        <w:t>Context</w:t>
      </w:r>
    </w:p>
    <w:p w14:paraId="1D2D12F0" w14:textId="023E98EB" w:rsidR="00087836" w:rsidRDefault="009E137B">
      <w:pPr>
        <w:spacing w:before="80"/>
        <w:rPr>
          <w:rFonts w:eastAsiaTheme="minorHAnsi"/>
          <w:sz w:val="24"/>
          <w:szCs w:val="24"/>
        </w:rPr>
      </w:pPr>
      <w:r w:rsidRPr="009E137B">
        <w:rPr>
          <w:rFonts w:eastAsiaTheme="minorHAnsi"/>
          <w:sz w:val="24"/>
          <w:szCs w:val="24"/>
        </w:rPr>
        <w:t>M10TEK is committed to managing the risks of adverse social impacts in its supply chain and to conducting business with vendors and suppliers that uphold ethical labor practices, fair working conditions, and human rights. M10TEK will not knowingly engage vendors whose operations involve forced labor, child labor, human trafficking, or significant violations of workers' rights.</w:t>
      </w:r>
    </w:p>
    <w:p w14:paraId="7A32EA8E" w14:textId="77777777" w:rsidR="009E137B" w:rsidRDefault="009E137B">
      <w:pPr>
        <w:spacing w:before="80"/>
      </w:pPr>
    </w:p>
    <w:p w14:paraId="450BBEA0" w14:textId="7C8B6ADE"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 xml:space="preserve">2.2  </w:t>
      </w:r>
      <w:r w:rsidR="00087836" w:rsidRPr="00087836">
        <w:rPr>
          <w:rFonts w:eastAsiaTheme="minorHAnsi"/>
          <w:b/>
          <w:bCs/>
          <w:sz w:val="24"/>
          <w:szCs w:val="24"/>
        </w:rPr>
        <w:t>Qualitative Objectives</w:t>
      </w:r>
    </w:p>
    <w:p w14:paraId="51FA33AD" w14:textId="77777777" w:rsidR="009E137B" w:rsidRPr="009E137B" w:rsidRDefault="009E137B" w:rsidP="009E137B">
      <w:pPr>
        <w:pStyle w:val="ListParagraph"/>
        <w:numPr>
          <w:ilvl w:val="0"/>
          <w:numId w:val="11"/>
        </w:numPr>
        <w:spacing w:before="160"/>
        <w:rPr>
          <w:rFonts w:eastAsiaTheme="minorHAnsi"/>
          <w:sz w:val="24"/>
          <w:szCs w:val="24"/>
        </w:rPr>
      </w:pPr>
      <w:r w:rsidRPr="009E137B">
        <w:rPr>
          <w:rFonts w:eastAsiaTheme="minorHAnsi"/>
          <w:sz w:val="24"/>
          <w:szCs w:val="24"/>
        </w:rPr>
        <w:t>Require that all vendors and suppliers engaged by M10TEK conduct their business in compliance with applicable labor laws and regulations in their jurisdictions of operation, including those relating to working hours, wages, health and safety, and non-discrimination.</w:t>
      </w:r>
    </w:p>
    <w:p w14:paraId="069D423A" w14:textId="77777777" w:rsidR="009E137B" w:rsidRPr="009E137B" w:rsidRDefault="009E137B" w:rsidP="009E137B">
      <w:pPr>
        <w:pStyle w:val="ListParagraph"/>
        <w:numPr>
          <w:ilvl w:val="0"/>
          <w:numId w:val="11"/>
        </w:numPr>
        <w:spacing w:before="160"/>
        <w:rPr>
          <w:rFonts w:eastAsiaTheme="minorHAnsi"/>
          <w:sz w:val="24"/>
          <w:szCs w:val="24"/>
        </w:rPr>
      </w:pPr>
      <w:r w:rsidRPr="009E137B">
        <w:rPr>
          <w:rFonts w:eastAsiaTheme="minorHAnsi"/>
          <w:sz w:val="24"/>
          <w:szCs w:val="24"/>
        </w:rPr>
        <w:t>Include social and ethical conduct expectations in vendor agreements where applicable. M10TEK's contractor agreement template includes an Anti-Slavery Policy acknowledgment requiring all contractors to confirm they have read and agree to M10TEK's Anti-Slavery Policy, which prohibits any form of slavery or human trafficking in M10TEK's business and supply chain.</w:t>
      </w:r>
    </w:p>
    <w:p w14:paraId="5A025E65" w14:textId="77777777" w:rsidR="009E137B" w:rsidRPr="009E137B" w:rsidRDefault="009E137B" w:rsidP="009E137B">
      <w:pPr>
        <w:pStyle w:val="ListParagraph"/>
        <w:numPr>
          <w:ilvl w:val="0"/>
          <w:numId w:val="11"/>
        </w:numPr>
        <w:spacing w:before="160"/>
        <w:rPr>
          <w:rFonts w:eastAsiaTheme="minorHAnsi"/>
          <w:sz w:val="24"/>
          <w:szCs w:val="24"/>
        </w:rPr>
      </w:pPr>
      <w:r w:rsidRPr="009E137B">
        <w:rPr>
          <w:rFonts w:eastAsiaTheme="minorHAnsi"/>
          <w:sz w:val="24"/>
          <w:szCs w:val="24"/>
        </w:rPr>
        <w:t>Give preference to vendors that demonstrate a credible commitment to fair labor practices, employee wellbeing, and diversity and inclusion in their own operations.</w:t>
      </w:r>
    </w:p>
    <w:p w14:paraId="27EC32CB" w14:textId="77777777" w:rsidR="009E137B" w:rsidRPr="009E137B" w:rsidRDefault="009E137B" w:rsidP="009E137B">
      <w:pPr>
        <w:pStyle w:val="ListParagraph"/>
        <w:numPr>
          <w:ilvl w:val="0"/>
          <w:numId w:val="11"/>
        </w:numPr>
        <w:spacing w:before="160"/>
        <w:rPr>
          <w:rFonts w:eastAsiaTheme="minorHAnsi"/>
          <w:sz w:val="24"/>
          <w:szCs w:val="24"/>
        </w:rPr>
      </w:pPr>
      <w:r w:rsidRPr="009E137B">
        <w:rPr>
          <w:rFonts w:eastAsiaTheme="minorHAnsi"/>
          <w:sz w:val="24"/>
          <w:szCs w:val="24"/>
        </w:rPr>
        <w:t xml:space="preserve">When evaluating new vendors or renewing existing relationships, consider the vendor's social responsibility credentials, including any published codes of </w:t>
      </w:r>
      <w:r w:rsidRPr="009E137B">
        <w:rPr>
          <w:rFonts w:eastAsiaTheme="minorHAnsi"/>
          <w:sz w:val="24"/>
          <w:szCs w:val="24"/>
        </w:rPr>
        <w:lastRenderedPageBreak/>
        <w:t>conduct, sustainability reports, or third-party certifications, as a factor in the selection process.</w:t>
      </w:r>
    </w:p>
    <w:p w14:paraId="2B655104" w14:textId="77777777" w:rsidR="009E137B" w:rsidRPr="009E137B" w:rsidRDefault="009E137B" w:rsidP="009E137B">
      <w:pPr>
        <w:pStyle w:val="ListParagraph"/>
        <w:numPr>
          <w:ilvl w:val="0"/>
          <w:numId w:val="11"/>
        </w:numPr>
        <w:spacing w:before="160"/>
        <w:rPr>
          <w:rFonts w:eastAsiaTheme="minorHAnsi"/>
          <w:sz w:val="24"/>
          <w:szCs w:val="24"/>
        </w:rPr>
      </w:pPr>
      <w:r w:rsidRPr="009E137B">
        <w:rPr>
          <w:rFonts w:eastAsiaTheme="minorHAnsi"/>
          <w:sz w:val="24"/>
          <w:szCs w:val="24"/>
        </w:rPr>
        <w:t>Maintain awareness of social risks in M10TEK's supply chain and escalate concerns about any vendor's labor practices to senior management for review and action, including the potential termination of the vendor relationship.</w:t>
      </w:r>
    </w:p>
    <w:p w14:paraId="1C943641" w14:textId="77777777" w:rsidR="003B2BB0" w:rsidRDefault="003B2BB0">
      <w:pPr>
        <w:spacing w:before="160"/>
      </w:pPr>
    </w:p>
    <w:p w14:paraId="7CF22DBB" w14:textId="7F099F76"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 xml:space="preserve">3.  </w:t>
      </w:r>
      <w:r w:rsidR="00087836" w:rsidRPr="00087836">
        <w:rPr>
          <w:rFonts w:eastAsiaTheme="minorHAnsi"/>
          <w:b/>
          <w:bCs/>
          <w:sz w:val="24"/>
          <w:szCs w:val="24"/>
        </w:rPr>
        <w:t>ROLES AND RESPONSIBILITIES</w:t>
      </w:r>
    </w:p>
    <w:p w14:paraId="7D0A8A7A" w14:textId="77777777" w:rsidR="009E137B" w:rsidRPr="009E137B" w:rsidRDefault="009E137B" w:rsidP="009E137B">
      <w:pPr>
        <w:spacing w:before="80"/>
        <w:rPr>
          <w:rFonts w:eastAsiaTheme="minorHAnsi"/>
          <w:sz w:val="24"/>
          <w:szCs w:val="24"/>
        </w:rPr>
      </w:pPr>
      <w:r w:rsidRPr="009E137B">
        <w:rPr>
          <w:rFonts w:eastAsiaTheme="minorHAnsi"/>
          <w:sz w:val="24"/>
          <w:szCs w:val="24"/>
        </w:rPr>
        <w:t>M10TEK leadership is responsible for communicating this policy to all relevant Associates, ensuring that sustainable procurement considerations are integrated into vendor selection and renewal processes, and reviewing and updating this policy annually.</w:t>
      </w:r>
    </w:p>
    <w:p w14:paraId="0DCE89F1" w14:textId="186F65A8" w:rsidR="00087836" w:rsidRDefault="009E137B" w:rsidP="009E137B">
      <w:pPr>
        <w:spacing w:before="80"/>
        <w:rPr>
          <w:rFonts w:eastAsiaTheme="minorHAnsi"/>
          <w:sz w:val="24"/>
          <w:szCs w:val="24"/>
        </w:rPr>
      </w:pPr>
      <w:r w:rsidRPr="009E137B">
        <w:rPr>
          <w:rFonts w:eastAsiaTheme="minorHAnsi"/>
          <w:sz w:val="24"/>
          <w:szCs w:val="24"/>
        </w:rPr>
        <w:t>All Associates involved in vendor evaluation, selection, or management are expected to apply the principles of this policy in their procurement activities and to raise any concerns about vendor environmental or social practices to senior management.</w:t>
      </w:r>
    </w:p>
    <w:p w14:paraId="5F12FAEE" w14:textId="77777777" w:rsidR="009E137B" w:rsidRDefault="009E137B" w:rsidP="009E137B">
      <w:pPr>
        <w:spacing w:before="80"/>
      </w:pPr>
    </w:p>
    <w:p w14:paraId="7C2A2932" w14:textId="77777777" w:rsidR="00087836" w:rsidRDefault="009C470F" w:rsidP="00087836">
      <w:pPr>
        <w:spacing w:after="160" w:line="259" w:lineRule="auto"/>
        <w:rPr>
          <w:rFonts w:eastAsiaTheme="minorHAnsi"/>
          <w:b/>
          <w:bCs/>
          <w:sz w:val="24"/>
          <w:szCs w:val="24"/>
        </w:rPr>
      </w:pPr>
      <w:r w:rsidRPr="00CE29ED">
        <w:rPr>
          <w:rFonts w:eastAsiaTheme="minorHAnsi"/>
          <w:b/>
          <w:bCs/>
          <w:sz w:val="24"/>
          <w:szCs w:val="24"/>
        </w:rPr>
        <w:t xml:space="preserve">4.  </w:t>
      </w:r>
      <w:r w:rsidR="00087836" w:rsidRPr="00087836">
        <w:rPr>
          <w:rFonts w:eastAsiaTheme="minorHAnsi"/>
          <w:b/>
          <w:bCs/>
          <w:sz w:val="24"/>
          <w:szCs w:val="24"/>
        </w:rPr>
        <w:t xml:space="preserve">POLICY REVIEW </w:t>
      </w:r>
    </w:p>
    <w:p w14:paraId="457354C5" w14:textId="61486623" w:rsidR="003B2BB0" w:rsidRDefault="00087836">
      <w:pPr>
        <w:spacing w:before="80"/>
      </w:pPr>
      <w:r w:rsidRPr="00087836">
        <w:rPr>
          <w:rFonts w:eastAsiaTheme="minorHAnsi"/>
          <w:sz w:val="24"/>
          <w:szCs w:val="24"/>
        </w:rPr>
        <w:t>This policy will be reviewed at least annually by M10TEK leadership. Updates will be made to reflect changes in M10TEK's operations, growth, applicable regulations, or evolving best practices in environmental management. Associates will be notified of any material changes.</w:t>
      </w:r>
    </w:p>
    <w:p w14:paraId="4EB00C88" w14:textId="77777777" w:rsidR="00CE29ED" w:rsidRDefault="00CE29ED" w:rsidP="00CE29ED">
      <w:pPr>
        <w:pStyle w:val="ListParagraph"/>
        <w:ind w:left="720"/>
        <w:rPr>
          <w:sz w:val="24"/>
          <w:szCs w:val="24"/>
        </w:rPr>
      </w:pPr>
    </w:p>
    <w:p w14:paraId="2DCF9068" w14:textId="77777777" w:rsidR="00CE29ED" w:rsidRPr="00CE29ED" w:rsidRDefault="00CE29ED" w:rsidP="00CE29ED">
      <w:pPr>
        <w:pStyle w:val="ListParagraph"/>
        <w:ind w:left="720"/>
        <w:rPr>
          <w:sz w:val="24"/>
          <w:szCs w:val="24"/>
        </w:rPr>
      </w:pPr>
    </w:p>
    <w:p w14:paraId="52DD8AA8" w14:textId="6965BE4F" w:rsidR="00CE29ED" w:rsidRPr="00087836" w:rsidRDefault="009E137B" w:rsidP="00087836">
      <w:pPr>
        <w:ind w:left="360"/>
        <w:jc w:val="center"/>
        <w:rPr>
          <w:b/>
          <w:bCs/>
          <w:sz w:val="24"/>
          <w:szCs w:val="24"/>
        </w:rPr>
      </w:pPr>
      <w:r>
        <w:rPr>
          <w:b/>
          <w:bCs/>
          <w:sz w:val="24"/>
          <w:szCs w:val="24"/>
        </w:rPr>
        <w:t>SUSTAINABLE PROCUREMENT</w:t>
      </w:r>
      <w:r w:rsidR="00087836">
        <w:rPr>
          <w:b/>
          <w:bCs/>
          <w:sz w:val="24"/>
          <w:szCs w:val="24"/>
        </w:rPr>
        <w:t xml:space="preserve"> POLICY</w:t>
      </w:r>
      <w:r w:rsidR="00CE29ED" w:rsidRPr="00087836">
        <w:rPr>
          <w:b/>
          <w:bCs/>
          <w:sz w:val="24"/>
          <w:szCs w:val="24"/>
        </w:rPr>
        <w:t xml:space="preserve"> LOG</w:t>
      </w:r>
    </w:p>
    <w:tbl>
      <w:tblPr>
        <w:tblStyle w:val="GridTable6Colorful"/>
        <w:tblW w:w="0" w:type="auto"/>
        <w:tblLook w:val="04A0" w:firstRow="1" w:lastRow="0" w:firstColumn="1" w:lastColumn="0" w:noHBand="0" w:noVBand="1"/>
      </w:tblPr>
      <w:tblGrid>
        <w:gridCol w:w="1318"/>
        <w:gridCol w:w="1031"/>
        <w:gridCol w:w="5273"/>
        <w:gridCol w:w="1728"/>
      </w:tblGrid>
      <w:tr w:rsidR="00CE29ED" w:rsidRPr="00CA17D8" w14:paraId="1849560D" w14:textId="77777777" w:rsidTr="00CE29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181D334A" w14:textId="77777777" w:rsidR="00CE29ED" w:rsidRPr="00CA17D8" w:rsidRDefault="00CE29ED" w:rsidP="002564EF">
            <w:pPr>
              <w:rPr>
                <w:rFonts w:ascii="Arial" w:hAnsi="Arial" w:cs="Arial"/>
                <w:sz w:val="20"/>
                <w:szCs w:val="20"/>
              </w:rPr>
            </w:pPr>
            <w:r w:rsidRPr="00CA17D8">
              <w:rPr>
                <w:rFonts w:ascii="Arial" w:hAnsi="Arial" w:cs="Arial"/>
                <w:sz w:val="20"/>
                <w:szCs w:val="20"/>
              </w:rPr>
              <w:t>Date</w:t>
            </w:r>
          </w:p>
        </w:tc>
        <w:tc>
          <w:tcPr>
            <w:tcW w:w="1031" w:type="dxa"/>
          </w:tcPr>
          <w:p w14:paraId="334552B5" w14:textId="77777777" w:rsidR="00CE29ED" w:rsidRPr="00CA17D8" w:rsidRDefault="00CE29ED" w:rsidP="002564E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17D8">
              <w:rPr>
                <w:rFonts w:ascii="Arial" w:hAnsi="Arial" w:cs="Arial"/>
                <w:sz w:val="20"/>
                <w:szCs w:val="20"/>
              </w:rPr>
              <w:t>Version</w:t>
            </w:r>
          </w:p>
        </w:tc>
        <w:tc>
          <w:tcPr>
            <w:tcW w:w="5273" w:type="dxa"/>
          </w:tcPr>
          <w:p w14:paraId="0582C5C5" w14:textId="77777777" w:rsidR="00CE29ED" w:rsidRPr="00CA17D8" w:rsidRDefault="00CE29ED" w:rsidP="002564E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17D8">
              <w:rPr>
                <w:rFonts w:ascii="Arial" w:hAnsi="Arial" w:cs="Arial"/>
                <w:sz w:val="20"/>
                <w:szCs w:val="20"/>
              </w:rPr>
              <w:t>Changes</w:t>
            </w:r>
          </w:p>
        </w:tc>
        <w:tc>
          <w:tcPr>
            <w:tcW w:w="1728" w:type="dxa"/>
          </w:tcPr>
          <w:p w14:paraId="04E9CC25" w14:textId="77777777" w:rsidR="00CE29ED" w:rsidRPr="00CA17D8" w:rsidRDefault="00CE29ED" w:rsidP="002564E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17D8">
              <w:rPr>
                <w:rFonts w:ascii="Arial" w:hAnsi="Arial" w:cs="Arial"/>
                <w:sz w:val="20"/>
                <w:szCs w:val="20"/>
              </w:rPr>
              <w:t>Approver</w:t>
            </w:r>
          </w:p>
        </w:tc>
      </w:tr>
      <w:tr w:rsidR="00CE29ED" w:rsidRPr="00CA17D8" w14:paraId="7399CCFA" w14:textId="77777777" w:rsidTr="00CE2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52F4790B" w14:textId="3FE35A89" w:rsidR="00CE29ED" w:rsidRPr="00987473" w:rsidRDefault="00493B1B" w:rsidP="002564EF">
            <w:pPr>
              <w:rPr>
                <w:rFonts w:ascii="Arial" w:hAnsi="Arial" w:cs="Arial"/>
                <w:b w:val="0"/>
                <w:bCs w:val="0"/>
              </w:rPr>
            </w:pPr>
            <w:r>
              <w:rPr>
                <w:rFonts w:ascii="Arial" w:hAnsi="Arial" w:cs="Arial"/>
                <w:b w:val="0"/>
                <w:bCs w:val="0"/>
              </w:rPr>
              <w:t>6/</w:t>
            </w:r>
            <w:r w:rsidR="00087836">
              <w:rPr>
                <w:rFonts w:ascii="Arial" w:hAnsi="Arial" w:cs="Arial"/>
                <w:b w:val="0"/>
                <w:bCs w:val="0"/>
              </w:rPr>
              <w:t>8</w:t>
            </w:r>
            <w:r>
              <w:rPr>
                <w:rFonts w:ascii="Arial" w:hAnsi="Arial" w:cs="Arial"/>
                <w:b w:val="0"/>
                <w:bCs w:val="0"/>
              </w:rPr>
              <w:t>/2026</w:t>
            </w:r>
          </w:p>
        </w:tc>
        <w:tc>
          <w:tcPr>
            <w:tcW w:w="1031" w:type="dxa"/>
          </w:tcPr>
          <w:p w14:paraId="07D48FE3"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87473">
              <w:rPr>
                <w:rFonts w:ascii="Arial" w:hAnsi="Arial" w:cs="Arial"/>
              </w:rPr>
              <w:t>1.0</w:t>
            </w:r>
          </w:p>
        </w:tc>
        <w:tc>
          <w:tcPr>
            <w:tcW w:w="5273" w:type="dxa"/>
          </w:tcPr>
          <w:p w14:paraId="00A0B8BB"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87473">
              <w:rPr>
                <w:rFonts w:ascii="Arial" w:hAnsi="Arial" w:cs="Arial"/>
              </w:rPr>
              <w:t xml:space="preserve">Initial Release </w:t>
            </w:r>
          </w:p>
        </w:tc>
        <w:tc>
          <w:tcPr>
            <w:tcW w:w="1728" w:type="dxa"/>
          </w:tcPr>
          <w:p w14:paraId="30DB996E"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87473">
              <w:rPr>
                <w:rFonts w:ascii="Arial" w:hAnsi="Arial" w:cs="Arial"/>
              </w:rPr>
              <w:t>Jim Rosenberg</w:t>
            </w:r>
            <w:r>
              <w:rPr>
                <w:rFonts w:ascii="Arial" w:hAnsi="Arial" w:cs="Arial"/>
              </w:rPr>
              <w:t>er</w:t>
            </w:r>
          </w:p>
        </w:tc>
      </w:tr>
      <w:tr w:rsidR="00CE29ED" w:rsidRPr="00CA17D8" w14:paraId="2A03711B" w14:textId="77777777" w:rsidTr="00CE29ED">
        <w:tc>
          <w:tcPr>
            <w:cnfStyle w:val="001000000000" w:firstRow="0" w:lastRow="0" w:firstColumn="1" w:lastColumn="0" w:oddVBand="0" w:evenVBand="0" w:oddHBand="0" w:evenHBand="0" w:firstRowFirstColumn="0" w:firstRowLastColumn="0" w:lastRowFirstColumn="0" w:lastRowLastColumn="0"/>
            <w:tcW w:w="1318" w:type="dxa"/>
          </w:tcPr>
          <w:p w14:paraId="6E598B1D" w14:textId="77777777" w:rsidR="00CE29ED" w:rsidRPr="00987473" w:rsidRDefault="00CE29ED" w:rsidP="002564EF">
            <w:pPr>
              <w:rPr>
                <w:rFonts w:ascii="Arial" w:hAnsi="Arial" w:cs="Arial"/>
                <w:b w:val="0"/>
                <w:bCs w:val="0"/>
              </w:rPr>
            </w:pPr>
          </w:p>
        </w:tc>
        <w:tc>
          <w:tcPr>
            <w:tcW w:w="1031" w:type="dxa"/>
          </w:tcPr>
          <w:p w14:paraId="7C3ADC88" w14:textId="77777777" w:rsidR="00CE29ED" w:rsidRPr="00987473" w:rsidRDefault="00CE29ED" w:rsidP="002564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73" w:type="dxa"/>
          </w:tcPr>
          <w:p w14:paraId="792B3720" w14:textId="77777777" w:rsidR="00CE29ED" w:rsidRPr="00987473" w:rsidRDefault="00CE29ED" w:rsidP="002564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28" w:type="dxa"/>
          </w:tcPr>
          <w:p w14:paraId="09EED238" w14:textId="77777777" w:rsidR="00CE29ED" w:rsidRPr="00987473" w:rsidRDefault="00CE29ED" w:rsidP="002564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E29ED" w:rsidRPr="00CA17D8" w14:paraId="3E8D0D55" w14:textId="77777777" w:rsidTr="00CE2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6116EC94" w14:textId="77777777" w:rsidR="00CE29ED" w:rsidRPr="00987473" w:rsidRDefault="00CE29ED" w:rsidP="002564EF">
            <w:pPr>
              <w:rPr>
                <w:rFonts w:ascii="Arial" w:hAnsi="Arial" w:cs="Arial"/>
                <w:b w:val="0"/>
                <w:bCs w:val="0"/>
              </w:rPr>
            </w:pPr>
          </w:p>
        </w:tc>
        <w:tc>
          <w:tcPr>
            <w:tcW w:w="1031" w:type="dxa"/>
          </w:tcPr>
          <w:p w14:paraId="477EC674"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73" w:type="dxa"/>
          </w:tcPr>
          <w:p w14:paraId="65901E10"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28" w:type="dxa"/>
          </w:tcPr>
          <w:p w14:paraId="64DE486B"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4455543" w14:textId="77777777" w:rsidR="00CE29ED" w:rsidRPr="007256FF" w:rsidRDefault="00CE29ED" w:rsidP="00CE29ED">
      <w:pPr>
        <w:pStyle w:val="ListParagraph"/>
        <w:ind w:left="720"/>
      </w:pPr>
    </w:p>
    <w:p w14:paraId="5B0BB5A7" w14:textId="11D6EF5B" w:rsidR="003B2BB0" w:rsidRDefault="003B2BB0">
      <w:pPr>
        <w:spacing w:before="80" w:after="80"/>
      </w:pPr>
    </w:p>
    <w:sectPr w:rsidR="003B2BB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8104" w14:textId="77777777" w:rsidR="0093172C" w:rsidRDefault="0093172C">
      <w:r>
        <w:separator/>
      </w:r>
    </w:p>
  </w:endnote>
  <w:endnote w:type="continuationSeparator" w:id="0">
    <w:p w14:paraId="6E0989B5" w14:textId="77777777" w:rsidR="0093172C" w:rsidRDefault="0093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FEA7" w14:textId="77777777" w:rsidR="007E76AE" w:rsidRPr="0034331B" w:rsidRDefault="007E76AE" w:rsidP="007E76AE">
    <w:pPr>
      <w:pStyle w:val="Footer"/>
      <w:tabs>
        <w:tab w:val="clear" w:pos="4680"/>
        <w:tab w:val="clear" w:pos="9360"/>
      </w:tabs>
      <w:jc w:val="center"/>
      <w:rPr>
        <w:caps/>
        <w:noProof/>
        <w:color w:val="000000" w:themeColor="text1"/>
      </w:rPr>
    </w:pPr>
    <w:r w:rsidRPr="0034331B">
      <w:rPr>
        <w:caps/>
        <w:color w:val="000000" w:themeColor="text1"/>
      </w:rPr>
      <w:fldChar w:fldCharType="begin"/>
    </w:r>
    <w:r w:rsidRPr="0034331B">
      <w:rPr>
        <w:caps/>
        <w:color w:val="000000" w:themeColor="text1"/>
      </w:rPr>
      <w:instrText xml:space="preserve"> PAGE   \* MERGEFORMAT </w:instrText>
    </w:r>
    <w:r w:rsidRPr="0034331B">
      <w:rPr>
        <w:caps/>
        <w:color w:val="000000" w:themeColor="text1"/>
      </w:rPr>
      <w:fldChar w:fldCharType="separate"/>
    </w:r>
    <w:r>
      <w:rPr>
        <w:caps/>
        <w:color w:val="000000" w:themeColor="text1"/>
      </w:rPr>
      <w:t>2</w:t>
    </w:r>
    <w:r w:rsidRPr="0034331B">
      <w:rPr>
        <w:caps/>
        <w:noProof/>
        <w:color w:val="000000" w:themeColor="text1"/>
      </w:rPr>
      <w:fldChar w:fldCharType="end"/>
    </w:r>
  </w:p>
  <w:p w14:paraId="50091CC2" w14:textId="04CB227B" w:rsidR="003B2BB0" w:rsidRPr="007E76AE" w:rsidRDefault="007E76AE" w:rsidP="007E76AE">
    <w:pPr>
      <w:pStyle w:val="Footer"/>
      <w:tabs>
        <w:tab w:val="clear" w:pos="4680"/>
        <w:tab w:val="clear" w:pos="9360"/>
      </w:tabs>
      <w:jc w:val="center"/>
      <w:rPr>
        <w:b/>
        <w:bCs/>
        <w:caps/>
        <w:noProof/>
        <w:color w:val="FF0000"/>
      </w:rPr>
    </w:pPr>
    <w:r w:rsidRPr="0034331B">
      <w:rPr>
        <w:b/>
        <w:bCs/>
        <w:caps/>
        <w:noProof/>
        <w:color w:val="FF000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7492" w14:textId="77777777" w:rsidR="0093172C" w:rsidRDefault="0093172C">
      <w:r>
        <w:separator/>
      </w:r>
    </w:p>
  </w:footnote>
  <w:footnote w:type="continuationSeparator" w:id="0">
    <w:p w14:paraId="29D8C06D" w14:textId="77777777" w:rsidR="0093172C" w:rsidRDefault="0093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A724" w14:textId="149EDA3C" w:rsidR="007E76AE" w:rsidRDefault="007E76AE">
    <w:pPr>
      <w:pStyle w:val="Header"/>
    </w:pPr>
    <w:r>
      <w:rPr>
        <w:noProof/>
      </w:rPr>
      <w:drawing>
        <wp:anchor distT="0" distB="0" distL="114300" distR="114300" simplePos="0" relativeHeight="251659264" behindDoc="0" locked="0" layoutInCell="1" allowOverlap="1" wp14:anchorId="2D26DD81" wp14:editId="4359A136">
          <wp:simplePos x="0" y="0"/>
          <wp:positionH relativeFrom="column">
            <wp:posOffset>4867275</wp:posOffset>
          </wp:positionH>
          <wp:positionV relativeFrom="paragraph">
            <wp:posOffset>-135255</wp:posOffset>
          </wp:positionV>
          <wp:extent cx="1562100" cy="678180"/>
          <wp:effectExtent l="0" t="0" r="0" b="0"/>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31F1"/>
    <w:multiLevelType w:val="hybridMultilevel"/>
    <w:tmpl w:val="3AF2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265C1"/>
    <w:multiLevelType w:val="hybridMultilevel"/>
    <w:tmpl w:val="E23C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5218F"/>
    <w:multiLevelType w:val="hybridMultilevel"/>
    <w:tmpl w:val="20B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E3ABF"/>
    <w:multiLevelType w:val="hybridMultilevel"/>
    <w:tmpl w:val="0394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240E4"/>
    <w:multiLevelType w:val="hybridMultilevel"/>
    <w:tmpl w:val="7462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AB7633"/>
    <w:multiLevelType w:val="hybridMultilevel"/>
    <w:tmpl w:val="935A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61608"/>
    <w:multiLevelType w:val="hybridMultilevel"/>
    <w:tmpl w:val="EEFA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E072F"/>
    <w:multiLevelType w:val="hybridMultilevel"/>
    <w:tmpl w:val="A2460AC4"/>
    <w:lvl w:ilvl="0" w:tplc="5EBCCD20">
      <w:start w:val="1"/>
      <w:numFmt w:val="bullet"/>
      <w:lvlText w:val="•"/>
      <w:lvlJc w:val="left"/>
      <w:pPr>
        <w:ind w:left="720" w:hanging="360"/>
      </w:pPr>
    </w:lvl>
    <w:lvl w:ilvl="1" w:tplc="C504AC2E">
      <w:numFmt w:val="decimal"/>
      <w:lvlText w:val=""/>
      <w:lvlJc w:val="left"/>
    </w:lvl>
    <w:lvl w:ilvl="2" w:tplc="F0BAABBC">
      <w:numFmt w:val="decimal"/>
      <w:lvlText w:val=""/>
      <w:lvlJc w:val="left"/>
    </w:lvl>
    <w:lvl w:ilvl="3" w:tplc="E7F2B3EE">
      <w:numFmt w:val="decimal"/>
      <w:lvlText w:val=""/>
      <w:lvlJc w:val="left"/>
    </w:lvl>
    <w:lvl w:ilvl="4" w:tplc="54BC0D0E">
      <w:numFmt w:val="decimal"/>
      <w:lvlText w:val=""/>
      <w:lvlJc w:val="left"/>
    </w:lvl>
    <w:lvl w:ilvl="5" w:tplc="165C0C6C">
      <w:numFmt w:val="decimal"/>
      <w:lvlText w:val=""/>
      <w:lvlJc w:val="left"/>
    </w:lvl>
    <w:lvl w:ilvl="6" w:tplc="ED3A4EFC">
      <w:numFmt w:val="decimal"/>
      <w:lvlText w:val=""/>
      <w:lvlJc w:val="left"/>
    </w:lvl>
    <w:lvl w:ilvl="7" w:tplc="AB904F72">
      <w:numFmt w:val="decimal"/>
      <w:lvlText w:val=""/>
      <w:lvlJc w:val="left"/>
    </w:lvl>
    <w:lvl w:ilvl="8" w:tplc="238C071A">
      <w:numFmt w:val="decimal"/>
      <w:lvlText w:val=""/>
      <w:lvlJc w:val="left"/>
    </w:lvl>
  </w:abstractNum>
  <w:abstractNum w:abstractNumId="8" w15:restartNumberingAfterBreak="0">
    <w:nsid w:val="75656224"/>
    <w:multiLevelType w:val="hybridMultilevel"/>
    <w:tmpl w:val="A05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0A5C"/>
    <w:multiLevelType w:val="hybridMultilevel"/>
    <w:tmpl w:val="4F909646"/>
    <w:lvl w:ilvl="0" w:tplc="A3F227B0">
      <w:start w:val="1"/>
      <w:numFmt w:val="bullet"/>
      <w:lvlText w:val="●"/>
      <w:lvlJc w:val="left"/>
      <w:pPr>
        <w:ind w:left="720" w:hanging="360"/>
      </w:pPr>
    </w:lvl>
    <w:lvl w:ilvl="1" w:tplc="E6C484C0">
      <w:start w:val="1"/>
      <w:numFmt w:val="bullet"/>
      <w:lvlText w:val="○"/>
      <w:lvlJc w:val="left"/>
      <w:pPr>
        <w:ind w:left="1440" w:hanging="360"/>
      </w:pPr>
    </w:lvl>
    <w:lvl w:ilvl="2" w:tplc="436CE422">
      <w:start w:val="1"/>
      <w:numFmt w:val="bullet"/>
      <w:lvlText w:val="■"/>
      <w:lvlJc w:val="left"/>
      <w:pPr>
        <w:ind w:left="2160" w:hanging="360"/>
      </w:pPr>
    </w:lvl>
    <w:lvl w:ilvl="3" w:tplc="A85EA15C">
      <w:start w:val="1"/>
      <w:numFmt w:val="bullet"/>
      <w:lvlText w:val="●"/>
      <w:lvlJc w:val="left"/>
      <w:pPr>
        <w:ind w:left="2880" w:hanging="360"/>
      </w:pPr>
    </w:lvl>
    <w:lvl w:ilvl="4" w:tplc="E3885910">
      <w:start w:val="1"/>
      <w:numFmt w:val="bullet"/>
      <w:lvlText w:val="○"/>
      <w:lvlJc w:val="left"/>
      <w:pPr>
        <w:ind w:left="3600" w:hanging="360"/>
      </w:pPr>
    </w:lvl>
    <w:lvl w:ilvl="5" w:tplc="1C10EBE6">
      <w:start w:val="1"/>
      <w:numFmt w:val="bullet"/>
      <w:lvlText w:val="■"/>
      <w:lvlJc w:val="left"/>
      <w:pPr>
        <w:ind w:left="4320" w:hanging="360"/>
      </w:pPr>
    </w:lvl>
    <w:lvl w:ilvl="6" w:tplc="89CA8C50">
      <w:start w:val="1"/>
      <w:numFmt w:val="bullet"/>
      <w:lvlText w:val="●"/>
      <w:lvlJc w:val="left"/>
      <w:pPr>
        <w:ind w:left="5040" w:hanging="360"/>
      </w:pPr>
    </w:lvl>
    <w:lvl w:ilvl="7" w:tplc="537670EA">
      <w:start w:val="1"/>
      <w:numFmt w:val="bullet"/>
      <w:lvlText w:val="●"/>
      <w:lvlJc w:val="left"/>
      <w:pPr>
        <w:ind w:left="5760" w:hanging="360"/>
      </w:pPr>
    </w:lvl>
    <w:lvl w:ilvl="8" w:tplc="48E270F8">
      <w:start w:val="1"/>
      <w:numFmt w:val="bullet"/>
      <w:lvlText w:val="●"/>
      <w:lvlJc w:val="left"/>
      <w:pPr>
        <w:ind w:left="6480" w:hanging="360"/>
      </w:pPr>
    </w:lvl>
  </w:abstractNum>
  <w:abstractNum w:abstractNumId="10" w15:restartNumberingAfterBreak="0">
    <w:nsid w:val="7C064084"/>
    <w:multiLevelType w:val="hybridMultilevel"/>
    <w:tmpl w:val="B2E8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861085">
    <w:abstractNumId w:val="9"/>
    <w:lvlOverride w:ilvl="0">
      <w:startOverride w:val="1"/>
    </w:lvlOverride>
  </w:num>
  <w:num w:numId="2" w16cid:durableId="657728962">
    <w:abstractNumId w:val="7"/>
    <w:lvlOverride w:ilvl="0">
      <w:startOverride w:val="1"/>
    </w:lvlOverride>
  </w:num>
  <w:num w:numId="3" w16cid:durableId="485245877">
    <w:abstractNumId w:val="6"/>
  </w:num>
  <w:num w:numId="4" w16cid:durableId="1498034444">
    <w:abstractNumId w:val="5"/>
  </w:num>
  <w:num w:numId="5" w16cid:durableId="505943031">
    <w:abstractNumId w:val="1"/>
  </w:num>
  <w:num w:numId="6" w16cid:durableId="402995928">
    <w:abstractNumId w:val="4"/>
  </w:num>
  <w:num w:numId="7" w16cid:durableId="2109806586">
    <w:abstractNumId w:val="10"/>
  </w:num>
  <w:num w:numId="8" w16cid:durableId="1826585394">
    <w:abstractNumId w:val="8"/>
  </w:num>
  <w:num w:numId="9" w16cid:durableId="1582375111">
    <w:abstractNumId w:val="3"/>
  </w:num>
  <w:num w:numId="10" w16cid:durableId="1473592601">
    <w:abstractNumId w:val="0"/>
  </w:num>
  <w:num w:numId="11" w16cid:durableId="44369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B0"/>
    <w:rsid w:val="00087836"/>
    <w:rsid w:val="003B2BB0"/>
    <w:rsid w:val="003C27D6"/>
    <w:rsid w:val="00493B1B"/>
    <w:rsid w:val="0073733E"/>
    <w:rsid w:val="007E76AE"/>
    <w:rsid w:val="008006FD"/>
    <w:rsid w:val="008A756A"/>
    <w:rsid w:val="0093172C"/>
    <w:rsid w:val="009C470F"/>
    <w:rsid w:val="009E137B"/>
    <w:rsid w:val="00CE29ED"/>
    <w:rsid w:val="00E6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45576"/>
  <w15:docId w15:val="{1B1FCEB3-F896-474E-B519-B657A3BC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003366"/>
      <w:sz w:val="28"/>
      <w:szCs w:val="28"/>
    </w:rPr>
  </w:style>
  <w:style w:type="paragraph" w:styleId="Heading2">
    <w:name w:val="heading 2"/>
    <w:uiPriority w:val="9"/>
    <w:unhideWhenUsed/>
    <w:qFormat/>
    <w:pPr>
      <w:spacing w:before="240" w:after="120"/>
      <w:outlineLvl w:val="1"/>
    </w:pPr>
    <w:rPr>
      <w:b/>
      <w:bCs/>
      <w:color w:val="0033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E76AE"/>
    <w:pPr>
      <w:tabs>
        <w:tab w:val="center" w:pos="4680"/>
        <w:tab w:val="right" w:pos="9360"/>
      </w:tabs>
    </w:pPr>
  </w:style>
  <w:style w:type="character" w:customStyle="1" w:styleId="HeaderChar">
    <w:name w:val="Header Char"/>
    <w:basedOn w:val="DefaultParagraphFont"/>
    <w:link w:val="Header"/>
    <w:uiPriority w:val="99"/>
    <w:rsid w:val="007E76AE"/>
  </w:style>
  <w:style w:type="paragraph" w:styleId="Footer">
    <w:name w:val="footer"/>
    <w:basedOn w:val="Normal"/>
    <w:link w:val="FooterChar"/>
    <w:uiPriority w:val="99"/>
    <w:unhideWhenUsed/>
    <w:rsid w:val="007E76AE"/>
    <w:pPr>
      <w:tabs>
        <w:tab w:val="center" w:pos="4680"/>
        <w:tab w:val="right" w:pos="9360"/>
      </w:tabs>
    </w:pPr>
  </w:style>
  <w:style w:type="character" w:customStyle="1" w:styleId="FooterChar">
    <w:name w:val="Footer Char"/>
    <w:basedOn w:val="DefaultParagraphFont"/>
    <w:link w:val="Footer"/>
    <w:uiPriority w:val="99"/>
    <w:rsid w:val="007E76AE"/>
  </w:style>
  <w:style w:type="table" w:styleId="GridTable6Colorful">
    <w:name w:val="Grid Table 6 Colorful"/>
    <w:basedOn w:val="TableNormal"/>
    <w:uiPriority w:val="51"/>
    <w:rsid w:val="00CE29ED"/>
    <w:rPr>
      <w:rFonts w:asciiTheme="minorHAnsi" w:eastAsiaTheme="minorHAnsi" w:hAnsi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Holly Henderson</cp:lastModifiedBy>
  <cp:revision>3</cp:revision>
  <dcterms:created xsi:type="dcterms:W3CDTF">2026-06-09T19:00:00Z</dcterms:created>
  <dcterms:modified xsi:type="dcterms:W3CDTF">2026-06-09T19:04:00Z</dcterms:modified>
</cp:coreProperties>
</file>